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2500907</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Athens, GR, 17th – 21st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On-demand SSB SCell operation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7.25.2.1</w:t>
      </w:r>
      <w:bookmarkStart w:id="1" w:name="_GoBack"/>
      <w:bookmarkEnd w:id="1"/>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RAN4 meeting, around the application of OD-SSB and the requirements impact, warm discussion was held. The following progress was achieved and summarized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b/>
                <w:bCs/>
                <w:sz w:val="24"/>
                <w:szCs w:val="24"/>
                <w:lang w:val="en-US"/>
              </w:rPr>
            </w:pPr>
            <w:r>
              <w:rPr>
                <w:b/>
                <w:bCs/>
                <w:sz w:val="24"/>
                <w:szCs w:val="24"/>
                <w:lang w:val="en-US"/>
              </w:rPr>
              <w:t xml:space="preserve">Sub-topic </w:t>
            </w:r>
            <w:r>
              <w:rPr>
                <w:rFonts w:hint="eastAsia"/>
                <w:b/>
                <w:bCs/>
                <w:sz w:val="24"/>
                <w:szCs w:val="24"/>
                <w:lang w:val="en-US"/>
              </w:rPr>
              <w:t>1</w:t>
            </w:r>
            <w:r>
              <w:rPr>
                <w:b/>
                <w:bCs/>
                <w:sz w:val="24"/>
                <w:szCs w:val="24"/>
                <w:lang w:val="en-US"/>
              </w:rPr>
              <w:t xml:space="preserve">-1: </w:t>
            </w:r>
            <w:r>
              <w:rPr>
                <w:rFonts w:hint="eastAsia"/>
                <w:b/>
                <w:bCs/>
                <w:sz w:val="24"/>
                <w:szCs w:val="24"/>
                <w:lang w:val="en-US"/>
              </w:rPr>
              <w:t>General On-demand SSB(OD-SSB) requirements</w:t>
            </w:r>
          </w:p>
          <w:p>
            <w:pPr>
              <w:snapToGrid w:val="0"/>
              <w:spacing w:after="120" w:line="240" w:lineRule="auto"/>
              <w:rPr>
                <w:color w:val="000000" w:themeColor="text1"/>
                <w:sz w:val="21"/>
                <w:szCs w:val="21"/>
                <w:highlight w:val="green"/>
                <w:lang w:eastAsia="zh-CN"/>
                <w14:textFill>
                  <w14:solidFill>
                    <w14:schemeClr w14:val="tx1"/>
                  </w14:solidFill>
                </w14:textFill>
              </w:rPr>
            </w:pPr>
            <w:r>
              <w:rPr>
                <w:rFonts w:hint="eastAsia"/>
                <w:color w:val="000000" w:themeColor="text1"/>
                <w:sz w:val="21"/>
                <w:szCs w:val="21"/>
                <w:highlight w:val="green"/>
                <w:lang w:eastAsia="zh-CN"/>
                <w14:textFill>
                  <w14:solidFill>
                    <w14:schemeClr w14:val="tx1"/>
                  </w14:solidFill>
                </w14:textFill>
              </w:rPr>
              <w:t>A</w:t>
            </w:r>
            <w:r>
              <w:rPr>
                <w:color w:val="000000" w:themeColor="text1"/>
                <w:sz w:val="21"/>
                <w:szCs w:val="21"/>
                <w:highlight w:val="green"/>
                <w:lang w:eastAsia="zh-CN"/>
                <w14:textFill>
                  <w14:solidFill>
                    <w14:schemeClr w14:val="tx1"/>
                  </w14:solidFill>
                </w14:textFill>
              </w:rPr>
              <w:t>greement:</w:t>
            </w:r>
          </w:p>
          <w:p>
            <w:pPr>
              <w:pStyle w:val="29"/>
              <w:numPr>
                <w:ilvl w:val="0"/>
                <w:numId w:val="5"/>
              </w:numPr>
              <w:overflowPunct/>
              <w:autoSpaceDE/>
              <w:adjustRightInd/>
              <w:snapToGrid w:val="0"/>
              <w:spacing w:after="120" w:line="240" w:lineRule="auto"/>
              <w:ind w:firstLineChars="0"/>
              <w:textAlignment w:val="auto"/>
              <w:rPr>
                <w:iCs/>
                <w:color w:val="000000" w:themeColor="text1"/>
                <w:szCs w:val="21"/>
                <w14:textFill>
                  <w14:solidFill>
                    <w14:schemeClr w14:val="tx1"/>
                  </w14:solidFill>
                </w14:textFill>
              </w:rPr>
            </w:pPr>
            <w:r>
              <w:rPr>
                <w:iCs/>
                <w:color w:val="000000" w:themeColor="text1"/>
                <w:szCs w:val="21"/>
                <w14:textFill>
                  <w14:solidFill>
                    <w14:schemeClr w14:val="tx1"/>
                  </w14:solidFill>
                </w14:textFill>
              </w:rPr>
              <w:t xml:space="preserve">RAN4 to </w:t>
            </w:r>
            <w:r>
              <w:rPr>
                <w:color w:val="000000" w:themeColor="text1"/>
                <w:szCs w:val="21"/>
                <w14:textFill>
                  <w14:solidFill>
                    <w14:schemeClr w14:val="tx1"/>
                  </w14:solidFill>
                </w14:textFill>
              </w:rPr>
              <w:t xml:space="preserve">confirm that T_min equals to </w:t>
            </w:r>
            <m:oMath>
              <m:r>
                <m:rPr>
                  <m:sty m:val="p"/>
                </m:rPr>
                <w:rPr>
                  <w:rFonts w:ascii="Cambria Math" w:hAnsi="Cambria Math"/>
                  <w:color w:val="000000" w:themeColor="text1"/>
                  <w:szCs w:val="21"/>
                  <w14:textFill>
                    <w14:solidFill>
                      <w14:schemeClr w14:val="tx1"/>
                    </w14:solidFill>
                  </w14:textFill>
                </w:rPr>
                <m:t>m+3</m:t>
              </m:r>
              <m:sSubSup>
                <m:sSubSupPr>
                  <m:ctrlPr>
                    <w:rPr>
                      <w:rFonts w:ascii="Cambria Math" w:hAnsi="Cambria Math"/>
                      <w:color w:val="000000" w:themeColor="text1"/>
                      <w:szCs w:val="21"/>
                      <w14:textFill>
                        <w14:solidFill>
                          <w14:schemeClr w14:val="tx1"/>
                        </w14:solidFill>
                      </w14:textFill>
                    </w:rPr>
                  </m:ctrlPr>
                </m:sSubSupPr>
                <m:e>
                  <m:r>
                    <m:rPr>
                      <m:sty m:val="p"/>
                    </m:rPr>
                    <w:rPr>
                      <w:rFonts w:ascii="Cambria Math" w:hAnsi="Cambria Math"/>
                      <w:color w:val="000000" w:themeColor="text1"/>
                      <w:szCs w:val="21"/>
                      <w14:textFill>
                        <w14:solidFill>
                          <w14:schemeClr w14:val="tx1"/>
                        </w14:solidFill>
                      </w14:textFill>
                    </w:rPr>
                    <m:t>N</m:t>
                  </m:r>
                  <m:ctrlPr>
                    <w:rPr>
                      <w:rFonts w:ascii="Cambria Math" w:hAnsi="Cambria Math"/>
                      <w:color w:val="000000" w:themeColor="text1"/>
                      <w:szCs w:val="21"/>
                      <w14:textFill>
                        <w14:solidFill>
                          <w14:schemeClr w14:val="tx1"/>
                        </w14:solidFill>
                      </w14:textFill>
                    </w:rPr>
                  </m:ctrlPr>
                </m:e>
                <m:sub>
                  <m:r>
                    <m:rPr>
                      <m:nor/>
                      <m:sty m:val="p"/>
                    </m:rPr>
                    <w:rPr>
                      <w:b w:val="0"/>
                      <w:i w:val="0"/>
                      <w:color w:val="000000" w:themeColor="text1"/>
                      <w:szCs w:val="21"/>
                      <w14:textFill>
                        <w14:solidFill>
                          <w14:schemeClr w14:val="tx1"/>
                        </w14:solidFill>
                      </w14:textFill>
                    </w:rPr>
                    <m:t>slot</m:t>
                  </m:r>
                  <m:ctrlPr>
                    <w:rPr>
                      <w:rFonts w:ascii="Cambria Math" w:hAnsi="Cambria Math"/>
                      <w:color w:val="000000" w:themeColor="text1"/>
                      <w:szCs w:val="21"/>
                      <w14:textFill>
                        <w14:solidFill>
                          <w14:schemeClr w14:val="tx1"/>
                        </w14:solidFill>
                      </w14:textFill>
                    </w:rPr>
                  </m:ctrlPr>
                </m:sub>
                <m:sup>
                  <m:r>
                    <m:rPr>
                      <m:nor/>
                      <m:sty m:val="p"/>
                    </m:rPr>
                    <w:rPr>
                      <w:b w:val="0"/>
                      <w:i w:val="0"/>
                      <w:color w:val="000000" w:themeColor="text1"/>
                      <w:szCs w:val="21"/>
                      <w14:textFill>
                        <w14:solidFill>
                          <w14:schemeClr w14:val="tx1"/>
                        </w14:solidFill>
                      </w14:textFill>
                    </w:rPr>
                    <m:t>subframe</m:t>
                  </m:r>
                  <m:r>
                    <m:rPr>
                      <m:sty m:val="p"/>
                    </m:rPr>
                    <w:rPr>
                      <w:rFonts w:ascii="Cambria Math" w:hAnsi="Cambria Math"/>
                      <w:color w:val="000000" w:themeColor="text1"/>
                      <w:szCs w:val="21"/>
                      <w14:textFill>
                        <w14:solidFill>
                          <w14:schemeClr w14:val="tx1"/>
                        </w14:solidFill>
                      </w14:textFill>
                    </w:rPr>
                    <m:t>,μ</m:t>
                  </m:r>
                  <m:ctrlPr>
                    <w:rPr>
                      <w:rFonts w:ascii="Cambria Math" w:hAnsi="Cambria Math"/>
                      <w:color w:val="000000" w:themeColor="text1"/>
                      <w:szCs w:val="21"/>
                      <w14:textFill>
                        <w14:solidFill>
                          <w14:schemeClr w14:val="tx1"/>
                        </w14:solidFill>
                      </w14:textFill>
                    </w:rPr>
                  </m:ctrlPr>
                </m:sup>
              </m:sSubSup>
            </m:oMath>
            <w:r>
              <w:rPr>
                <w:color w:val="000000" w:themeColor="text1"/>
                <w:szCs w:val="21"/>
                <w14:textFill>
                  <w14:solidFill>
                    <w14:schemeClr w14:val="tx1"/>
                  </w14:solidFill>
                </w14:textFill>
              </w:rPr>
              <w:t>+1 from network transmission perspective</w:t>
            </w:r>
            <w:r>
              <w:rPr>
                <w:iCs/>
                <w:color w:val="000000" w:themeColor="text1"/>
                <w:szCs w:val="21"/>
                <w14:textFill>
                  <w14:solidFill>
                    <w14:schemeClr w14:val="tx1"/>
                  </w14:solidFill>
                </w14:textFill>
              </w:rPr>
              <w:t>.</w:t>
            </w:r>
          </w:p>
          <w:p>
            <w:pPr>
              <w:pStyle w:val="29"/>
              <w:numPr>
                <w:ilvl w:val="1"/>
                <w:numId w:val="5"/>
              </w:numPr>
              <w:overflowPunct/>
              <w:autoSpaceDE/>
              <w:adjustRightInd/>
              <w:snapToGrid w:val="0"/>
              <w:spacing w:after="120" w:line="240" w:lineRule="auto"/>
              <w:ind w:firstLineChars="0"/>
              <w:textAlignment w:val="auto"/>
              <w:rPr>
                <w:iCs/>
                <w:color w:val="000000" w:themeColor="text1"/>
                <w:szCs w:val="21"/>
                <w14:textFill>
                  <w14:solidFill>
                    <w14:schemeClr w14:val="tx1"/>
                  </w14:solidFill>
                </w14:textFill>
              </w:rPr>
            </w:pPr>
            <w:r>
              <w:rPr>
                <w:iCs/>
                <w:color w:val="000000" w:themeColor="text1"/>
                <w:szCs w:val="21"/>
                <w14:textFill>
                  <w14:solidFill>
                    <w14:schemeClr w14:val="tx1"/>
                  </w14:solidFill>
                </w14:textFill>
              </w:rPr>
              <w:t xml:space="preserve">Note 1: This does not imply UE shall be able to </w:t>
            </w:r>
            <w:r>
              <w:rPr>
                <w:iCs/>
                <w:szCs w:val="21"/>
              </w:rPr>
              <w:t>process</w:t>
            </w:r>
            <w:r>
              <w:rPr>
                <w:iCs/>
                <w:strike/>
                <w:szCs w:val="21"/>
              </w:rPr>
              <w:t>/prepare</w:t>
            </w:r>
            <w:r>
              <w:rPr>
                <w:iCs/>
                <w:szCs w:val="21"/>
              </w:rPr>
              <w:t xml:space="preserve"> </w:t>
            </w:r>
            <w:r>
              <w:rPr>
                <w:iCs/>
                <w:color w:val="000000" w:themeColor="text1"/>
                <w:szCs w:val="21"/>
                <w14:textFill>
                  <w14:solidFill>
                    <w14:schemeClr w14:val="tx1"/>
                  </w14:solidFill>
                </w14:textFill>
              </w:rPr>
              <w:t xml:space="preserve">the OD-SSB </w:t>
            </w:r>
            <w:r>
              <w:rPr>
                <w:color w:val="000000" w:themeColor="text1"/>
                <w:szCs w:val="21"/>
                <w:lang w:eastAsia="ko-KR"/>
                <w14:textFill>
                  <w14:solidFill>
                    <w14:schemeClr w14:val="tx1"/>
                  </w14:solidFill>
                </w14:textFill>
              </w:rPr>
              <w:t xml:space="preserve">from </w:t>
            </w:r>
            <w:r>
              <w:rPr>
                <w:szCs w:val="21"/>
                <w:lang w:eastAsia="ko-KR"/>
              </w:rPr>
              <w:t xml:space="preserve">time instance A from RAN4 requirement perspective. </w:t>
            </w:r>
          </w:p>
          <w:p>
            <w:pPr>
              <w:pStyle w:val="29"/>
              <w:numPr>
                <w:ilvl w:val="0"/>
                <w:numId w:val="5"/>
              </w:numPr>
              <w:overflowPunct/>
              <w:autoSpaceDE/>
              <w:adjustRightInd/>
              <w:snapToGrid w:val="0"/>
              <w:spacing w:after="120" w:line="240" w:lineRule="auto"/>
              <w:ind w:firstLineChars="0"/>
              <w:textAlignment w:val="auto"/>
              <w:rPr>
                <w:iCs/>
                <w:color w:val="000000" w:themeColor="text1"/>
                <w:szCs w:val="21"/>
                <w14:textFill>
                  <w14:solidFill>
                    <w14:schemeClr w14:val="tx1"/>
                  </w14:solidFill>
                </w14:textFill>
              </w:rPr>
            </w:pPr>
            <w:r>
              <w:rPr>
                <w:iCs/>
                <w:color w:val="000000" w:themeColor="text1"/>
                <w:szCs w:val="21"/>
                <w14:textFill>
                  <w14:solidFill>
                    <w14:schemeClr w14:val="tx1"/>
                  </w14:solidFill>
                </w14:textFill>
              </w:rPr>
              <w:t>Meanwhile, RAN4 is discussing the additional UE processing/preparation time for OD-SSB reception for RAN4 requirement.</w:t>
            </w:r>
          </w:p>
          <w:p>
            <w:pPr>
              <w:bidi w:val="0"/>
              <w:rPr>
                <w:b/>
                <w:bCs/>
                <w:sz w:val="24"/>
                <w:szCs w:val="24"/>
                <w:lang w:val="en-US"/>
              </w:rPr>
            </w:pPr>
            <w:r>
              <w:rPr>
                <w:b/>
                <w:bCs/>
                <w:sz w:val="24"/>
                <w:szCs w:val="24"/>
                <w:lang w:val="en-US"/>
              </w:rPr>
              <w:t xml:space="preserve">Sub-topic </w:t>
            </w:r>
            <w:r>
              <w:rPr>
                <w:rFonts w:hint="eastAsia"/>
                <w:b/>
                <w:bCs/>
                <w:sz w:val="24"/>
                <w:szCs w:val="24"/>
                <w:lang w:val="en-US"/>
              </w:rPr>
              <w:t>1</w:t>
            </w:r>
            <w:r>
              <w:rPr>
                <w:b/>
                <w:bCs/>
                <w:sz w:val="24"/>
                <w:szCs w:val="24"/>
                <w:lang w:val="en-US"/>
              </w:rPr>
              <w:t>-</w:t>
            </w:r>
            <w:r>
              <w:rPr>
                <w:rFonts w:hint="eastAsia"/>
                <w:b/>
                <w:bCs/>
                <w:sz w:val="24"/>
                <w:szCs w:val="24"/>
                <w:lang w:val="en-US"/>
              </w:rPr>
              <w:t>2</w:t>
            </w:r>
            <w:r>
              <w:rPr>
                <w:b/>
                <w:bCs/>
                <w:sz w:val="24"/>
                <w:szCs w:val="24"/>
                <w:lang w:val="en-US"/>
              </w:rPr>
              <w:t xml:space="preserve">: </w:t>
            </w:r>
            <w:r>
              <w:rPr>
                <w:rFonts w:hint="eastAsia"/>
                <w:b/>
                <w:bCs/>
                <w:sz w:val="24"/>
                <w:szCs w:val="24"/>
                <w:lang w:val="en-US"/>
              </w:rPr>
              <w:t xml:space="preserve">OD-SSB based </w:t>
            </w:r>
            <w:r>
              <w:rPr>
                <w:b/>
                <w:bCs/>
                <w:sz w:val="24"/>
                <w:szCs w:val="24"/>
                <w:lang w:val="en-US"/>
              </w:rPr>
              <w:t>deactivated</w:t>
            </w:r>
            <w:r>
              <w:rPr>
                <w:rFonts w:hint="eastAsia"/>
                <w:b/>
                <w:bCs/>
                <w:sz w:val="24"/>
                <w:szCs w:val="24"/>
                <w:lang w:val="en-US"/>
              </w:rPr>
              <w:t xml:space="preserve"> SCell L3 measurement (Case 1)</w:t>
            </w:r>
          </w:p>
          <w:p>
            <w:pPr>
              <w:spacing w:after="120" w:line="240" w:lineRule="auto"/>
              <w:rPr>
                <w:b/>
                <w:color w:val="0070C0"/>
                <w:u w:val="single"/>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measurement periodicity in fast mode measurement</w:t>
            </w:r>
          </w:p>
          <w:p>
            <w:pPr>
              <w:tabs>
                <w:tab w:val="left" w:pos="1260"/>
              </w:tabs>
              <w:spacing w:after="120" w:line="240" w:lineRule="auto"/>
              <w:rPr>
                <w:rFonts w:eastAsiaTheme="minorEastAsia"/>
                <w:iCs/>
                <w:szCs w:val="22"/>
                <w:lang w:eastAsia="zh-CN"/>
              </w:rPr>
            </w:pPr>
            <w:r>
              <w:rPr>
                <w:rFonts w:hint="eastAsia" w:eastAsiaTheme="minorEastAsia"/>
                <w:iCs/>
                <w:szCs w:val="22"/>
                <w:highlight w:val="green"/>
                <w:lang w:eastAsia="zh-CN"/>
              </w:rPr>
              <w:t>Agreement:</w:t>
            </w:r>
          </w:p>
          <w:p>
            <w:pPr>
              <w:tabs>
                <w:tab w:val="left" w:pos="1260"/>
              </w:tabs>
              <w:spacing w:after="120" w:line="240" w:lineRule="auto"/>
              <w:rPr>
                <w:rFonts w:eastAsiaTheme="minorEastAsia"/>
                <w:iCs/>
                <w:szCs w:val="22"/>
                <w:lang w:eastAsia="zh-CN"/>
              </w:rPr>
            </w:pPr>
            <w:r>
              <w:rPr>
                <w:rFonts w:hint="eastAsia" w:eastAsiaTheme="minorEastAsia"/>
                <w:iCs/>
                <w:szCs w:val="22"/>
                <w:lang w:eastAsia="zh-CN"/>
              </w:rPr>
              <w:t>For the case of CSSF = 1:</w:t>
            </w:r>
          </w:p>
          <w:p>
            <w:pPr>
              <w:pStyle w:val="29"/>
              <w:numPr>
                <w:ilvl w:val="0"/>
                <w:numId w:val="6"/>
              </w:numPr>
              <w:tabs>
                <w:tab w:val="left" w:pos="1260"/>
              </w:tabs>
              <w:spacing w:after="120" w:line="240" w:lineRule="auto"/>
              <w:ind w:firstLineChars="0"/>
              <w:rPr>
                <w:iCs/>
                <w:szCs w:val="22"/>
              </w:rPr>
            </w:pPr>
            <w:r>
              <w:rPr>
                <w:rFonts w:hint="eastAsia" w:eastAsiaTheme="minorEastAsia"/>
                <w:iCs/>
                <w:szCs w:val="22"/>
                <w:lang w:eastAsia="zh-CN"/>
              </w:rPr>
              <w:t xml:space="preserve">OD-SSB periodicity regardless of </w:t>
            </w:r>
            <w:r>
              <w:rPr>
                <w:rFonts w:hint="eastAsia" w:eastAsiaTheme="minorEastAsia"/>
                <w:i/>
                <w:szCs w:val="22"/>
                <w:lang w:eastAsia="zh-CN"/>
              </w:rPr>
              <w:t xml:space="preserve">measCycleSCell </w:t>
            </w:r>
            <w:r>
              <w:rPr>
                <w:rFonts w:hint="eastAsia" w:eastAsiaTheme="minorEastAsia"/>
                <w:iCs/>
                <w:szCs w:val="22"/>
                <w:lang w:eastAsia="zh-CN"/>
              </w:rPr>
              <w:t>and DRX cycle.</w:t>
            </w:r>
          </w:p>
          <w:p>
            <w:pPr>
              <w:pStyle w:val="29"/>
              <w:numPr>
                <w:ilvl w:val="1"/>
                <w:numId w:val="6"/>
              </w:numPr>
              <w:tabs>
                <w:tab w:val="left" w:pos="1260"/>
              </w:tabs>
              <w:spacing w:after="120" w:line="240" w:lineRule="auto"/>
              <w:ind w:firstLineChars="0"/>
              <w:rPr>
                <w:iCs/>
                <w:szCs w:val="22"/>
              </w:rPr>
            </w:pPr>
            <w:r>
              <w:rPr>
                <w:rFonts w:hint="eastAsia" w:eastAsiaTheme="minorEastAsia"/>
                <w:iCs/>
                <w:szCs w:val="22"/>
                <w:lang w:eastAsia="zh-CN"/>
              </w:rPr>
              <w:t>FFS whether a lower bound will be specified.</w:t>
            </w:r>
          </w:p>
          <w:p>
            <w:pPr>
              <w:tabs>
                <w:tab w:val="left" w:pos="1260"/>
              </w:tabs>
              <w:spacing w:after="120" w:line="240" w:lineRule="auto"/>
              <w:rPr>
                <w:rFonts w:hint="eastAsia"/>
                <w:iCs/>
                <w:szCs w:val="22"/>
                <w:lang w:eastAsia="zh-CN"/>
              </w:rPr>
            </w:pPr>
            <w:r>
              <w:rPr>
                <w:rFonts w:hint="eastAsia"/>
                <w:iCs/>
                <w:szCs w:val="22"/>
                <w:lang w:eastAsia="zh-CN"/>
              </w:rPr>
              <w:t>FFS for the other cases of CSSF.</w:t>
            </w:r>
          </w:p>
          <w:p>
            <w:pPr>
              <w:spacing w:after="120" w:line="240" w:lineRule="auto"/>
              <w:rPr>
                <w:color w:val="000000" w:themeColor="text1"/>
                <w:szCs w:val="24"/>
                <w:lang w:eastAsia="zh-CN"/>
                <w14:textFill>
                  <w14:solidFill>
                    <w14:schemeClr w14:val="tx1"/>
                  </w14:solidFill>
                </w14:textFill>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w:t>
            </w:r>
            <w:r>
              <w:rPr>
                <w:rFonts w:hint="eastAsia"/>
                <w:b/>
                <w:color w:val="0070C0"/>
                <w:u w:val="single"/>
                <w:lang w:eastAsia="zh-CN"/>
              </w:rPr>
              <w:t>Procedure</w:t>
            </w:r>
          </w:p>
          <w:p>
            <w:pPr>
              <w:spacing w:after="120" w:line="240" w:lineRule="auto"/>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 xml:space="preserve">Sub-issue 1 </w:t>
            </w:r>
            <w:r>
              <w:rPr>
                <w:color w:val="000000" w:themeColor="text1"/>
                <w:szCs w:val="24"/>
                <w:lang w:eastAsia="zh-CN"/>
                <w14:textFill>
                  <w14:solidFill>
                    <w14:schemeClr w14:val="tx1"/>
                  </w14:solidFill>
                </w14:textFill>
              </w:rPr>
              <w:t>–</w:t>
            </w:r>
            <w:r>
              <w:rPr>
                <w:rFonts w:hint="eastAsia"/>
                <w:color w:val="000000" w:themeColor="text1"/>
                <w:szCs w:val="24"/>
                <w:lang w:eastAsia="zh-CN"/>
                <w14:textFill>
                  <w14:solidFill>
                    <w14:schemeClr w14:val="tx1"/>
                  </w14:solidFill>
                </w14:textFill>
              </w:rPr>
              <w:t xml:space="preserve"> How to perform measurement after time window within one time OD-SSB activation/deactivation?</w:t>
            </w:r>
          </w:p>
          <w:p>
            <w:pPr>
              <w:spacing w:after="120" w:line="240" w:lineRule="auto"/>
              <w:rPr>
                <w:color w:val="000000" w:themeColor="text1"/>
                <w:szCs w:val="24"/>
                <w:lang w:val="en-US" w:eastAsia="zh-CN"/>
                <w14:textFill>
                  <w14:solidFill>
                    <w14:schemeClr w14:val="tx1"/>
                  </w14:solidFill>
                </w14:textFill>
              </w:rPr>
            </w:pPr>
            <w:r>
              <w:rPr>
                <w:rFonts w:hint="eastAsia"/>
                <w:color w:val="000000" w:themeColor="text1"/>
                <w:szCs w:val="24"/>
                <w:highlight w:val="green"/>
                <w:lang w:val="en-US" w:eastAsia="zh-CN"/>
                <w14:textFill>
                  <w14:solidFill>
                    <w14:schemeClr w14:val="tx1"/>
                  </w14:solidFill>
                </w14:textFill>
              </w:rPr>
              <w:t>Agreement:</w:t>
            </w:r>
          </w:p>
          <w:p>
            <w:pPr>
              <w:pStyle w:val="29"/>
              <w:numPr>
                <w:ilvl w:val="0"/>
                <w:numId w:val="7"/>
              </w:numPr>
              <w:spacing w:after="120" w:line="240" w:lineRule="auto"/>
              <w:ind w:firstLineChars="0"/>
              <w:rPr>
                <w:lang w:val="en-US" w:eastAsia="zh-CN"/>
              </w:rPr>
            </w:pPr>
            <w:r>
              <w:rPr>
                <w:rFonts w:hint="eastAsia"/>
                <w:lang w:val="en-US" w:eastAsia="zh-CN"/>
              </w:rPr>
              <w:t xml:space="preserve">After the fast time window, the UE shall meet the </w:t>
            </w:r>
            <w:r>
              <w:rPr>
                <w:rFonts w:hint="eastAsia"/>
                <w:color w:val="FF0000"/>
                <w:lang w:val="en-US" w:eastAsia="zh-CN"/>
              </w:rPr>
              <w:t xml:space="preserve">legacy </w:t>
            </w:r>
            <w:r>
              <w:rPr>
                <w:rFonts w:hint="eastAsia"/>
                <w:lang w:val="en-US" w:eastAsia="zh-CN"/>
              </w:rPr>
              <w:t>deactivated SCell measurement requirement as long as</w:t>
            </w:r>
            <w:r>
              <w:rPr>
                <w:lang w:val="en-US"/>
              </w:rPr>
              <w:t xml:space="preserve"> OD-SSB </w:t>
            </w:r>
            <w:r>
              <w:rPr>
                <w:rFonts w:hint="eastAsia" w:eastAsiaTheme="minorEastAsia"/>
                <w:lang w:val="en-US" w:eastAsia="zh-CN"/>
              </w:rPr>
              <w:t>is activated</w:t>
            </w:r>
            <w:r>
              <w:rPr>
                <w:rFonts w:hint="eastAsia" w:eastAsiaTheme="minorEastAsia"/>
                <w:strike/>
                <w:lang w:val="en-US" w:eastAsia="zh-CN"/>
              </w:rPr>
              <w:t>/transmitted</w:t>
            </w:r>
            <w:r>
              <w:rPr>
                <w:rFonts w:hint="eastAsia" w:eastAsiaTheme="minorEastAsia"/>
                <w:lang w:val="en-US" w:eastAsia="zh-CN"/>
              </w:rPr>
              <w:t xml:space="preserve"> from UE</w:t>
            </w:r>
            <w:r>
              <w:rPr>
                <w:rFonts w:eastAsiaTheme="minorEastAsia"/>
                <w:lang w:val="en-US" w:eastAsia="zh-CN"/>
              </w:rPr>
              <w:t>’</w:t>
            </w:r>
            <w:r>
              <w:rPr>
                <w:rFonts w:hint="eastAsia" w:eastAsiaTheme="minorEastAsia"/>
                <w:lang w:val="en-US" w:eastAsia="zh-CN"/>
              </w:rPr>
              <w:t>s perspective</w:t>
            </w:r>
            <w:r>
              <w:rPr>
                <w:lang w:val="en-US" w:eastAsia="zh-CN"/>
              </w:rPr>
              <w:t>.</w:t>
            </w:r>
          </w:p>
          <w:p>
            <w:pPr>
              <w:pStyle w:val="29"/>
              <w:numPr>
                <w:ilvl w:val="0"/>
                <w:numId w:val="7"/>
              </w:numPr>
              <w:spacing w:after="120" w:line="240" w:lineRule="auto"/>
              <w:ind w:firstLineChars="0"/>
              <w:rPr>
                <w:color w:val="000000" w:themeColor="text1"/>
                <w:szCs w:val="24"/>
                <w:lang w:eastAsia="zh-CN"/>
                <w14:textFill>
                  <w14:solidFill>
                    <w14:schemeClr w14:val="tx1"/>
                  </w14:solidFill>
                </w14:textFill>
              </w:rPr>
            </w:pPr>
            <w:r>
              <w:rPr>
                <w:rFonts w:hint="eastAsia" w:eastAsiaTheme="minorEastAsia"/>
                <w:lang w:val="en-US" w:eastAsia="zh-CN"/>
              </w:rPr>
              <w:t>The agreement can be revisited based on further RAN1 agreement about OD-SSB deactivation mechanism</w:t>
            </w:r>
          </w:p>
          <w:p>
            <w:pPr>
              <w:spacing w:after="120" w:line="240" w:lineRule="auto"/>
              <w:jc w:val="both"/>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Sub-issue 3&amp;4: How to define the time window and whether the time window is configured or pre-defined?</w:t>
            </w:r>
          </w:p>
          <w:p>
            <w:pPr>
              <w:spacing w:after="120" w:line="240" w:lineRule="auto"/>
              <w:rPr>
                <w:color w:val="000000" w:themeColor="text1"/>
                <w:szCs w:val="24"/>
                <w:lang w:val="en-US" w:eastAsia="zh-CN"/>
                <w14:textFill>
                  <w14:solidFill>
                    <w14:schemeClr w14:val="tx1"/>
                  </w14:solidFill>
                </w14:textFill>
              </w:rPr>
            </w:pPr>
            <w:r>
              <w:rPr>
                <w:rFonts w:hint="eastAsia"/>
                <w:color w:val="000000" w:themeColor="text1"/>
                <w:szCs w:val="24"/>
                <w:highlight w:val="green"/>
                <w:lang w:val="en-US" w:eastAsia="zh-CN"/>
                <w14:textFill>
                  <w14:solidFill>
                    <w14:schemeClr w14:val="tx1"/>
                  </w14:solidFill>
                </w14:textFill>
              </w:rPr>
              <w:t>Agreement:</w:t>
            </w:r>
          </w:p>
          <w:p>
            <w:pPr>
              <w:pStyle w:val="29"/>
              <w:spacing w:after="120" w:line="240" w:lineRule="auto"/>
              <w:ind w:left="284" w:firstLine="0" w:firstLineChars="0"/>
              <w:jc w:val="both"/>
              <w:rPr>
                <w:rFonts w:eastAsiaTheme="minorEastAsia"/>
                <w:lang w:eastAsia="zh-CN"/>
              </w:rPr>
            </w:pPr>
            <w:r>
              <w:rPr>
                <w:rFonts w:hint="eastAsia" w:eastAsiaTheme="minorEastAsia"/>
                <w:lang w:val="en-US" w:eastAsia="zh-CN"/>
              </w:rPr>
              <w:t xml:space="preserve">The time window is </w:t>
            </w:r>
            <w:r>
              <w:rPr>
                <w:rFonts w:hint="eastAsia"/>
                <w:lang w:eastAsia="zh-CN"/>
              </w:rPr>
              <w:t xml:space="preserve">based on </w:t>
            </w:r>
            <w:r>
              <w:rPr>
                <w:rFonts w:hint="eastAsia" w:eastAsiaTheme="minorEastAsia"/>
                <w:lang w:eastAsia="zh-CN"/>
              </w:rPr>
              <w:t xml:space="preserve">the </w:t>
            </w:r>
            <w:r>
              <w:rPr>
                <w:lang w:val="en-US" w:eastAsia="zh-CN"/>
              </w:rPr>
              <w:t>number of OD-SSB samples</w:t>
            </w:r>
            <w:r>
              <w:rPr>
                <w:rFonts w:hint="eastAsia"/>
                <w:lang w:val="en-US" w:eastAsia="zh-CN"/>
              </w:rPr>
              <w:t xml:space="preserve"> and </w:t>
            </w:r>
            <w:r>
              <w:rPr>
                <w:rFonts w:hint="eastAsia"/>
                <w:lang w:eastAsia="ko-KR"/>
              </w:rPr>
              <w:t xml:space="preserve">UE provided </w:t>
            </w:r>
            <w:r>
              <w:rPr>
                <w:rFonts w:hint="eastAsia" w:eastAsiaTheme="minorEastAsia"/>
                <w:lang w:eastAsia="zh-CN"/>
              </w:rPr>
              <w:t xml:space="preserve">one </w:t>
            </w:r>
            <w:r>
              <w:rPr>
                <w:rFonts w:hint="eastAsia"/>
                <w:lang w:eastAsia="ko-KR"/>
              </w:rPr>
              <w:t>valid report</w:t>
            </w:r>
            <w:r>
              <w:rPr>
                <w:rFonts w:hint="eastAsia" w:eastAsiaTheme="minorEastAsia"/>
                <w:lang w:eastAsia="zh-CN"/>
              </w:rPr>
              <w:t>.</w:t>
            </w:r>
          </w:p>
          <w:p>
            <w:pPr>
              <w:pStyle w:val="29"/>
              <w:numPr>
                <w:ilvl w:val="0"/>
                <w:numId w:val="8"/>
              </w:numPr>
              <w:spacing w:after="120" w:line="240" w:lineRule="auto"/>
              <w:ind w:left="1004" w:firstLineChars="0"/>
              <w:jc w:val="both"/>
              <w:rPr>
                <w:rFonts w:eastAsiaTheme="minorEastAsia"/>
                <w:lang w:val="en-US" w:eastAsia="zh-CN"/>
              </w:rPr>
            </w:pPr>
            <w:r>
              <w:rPr>
                <w:rFonts w:hint="eastAsia" w:eastAsiaTheme="minorEastAsia"/>
                <w:lang w:val="en-US" w:eastAsia="zh-CN"/>
              </w:rPr>
              <w:t xml:space="preserve">The uncertainty time should also be </w:t>
            </w:r>
            <w:r>
              <w:rPr>
                <w:rFonts w:hint="eastAsia"/>
                <w:lang w:eastAsia="ko-KR"/>
              </w:rPr>
              <w:t xml:space="preserve">considered, such as </w:t>
            </w:r>
            <w:r>
              <w:rPr>
                <w:lang w:eastAsia="ko-KR"/>
              </w:rPr>
              <w:t>T_min</w:t>
            </w:r>
            <w:r>
              <w:rPr>
                <w:rFonts w:hint="eastAsia"/>
                <w:lang w:eastAsia="ko-KR"/>
              </w:rPr>
              <w:t>, T_processing and</w:t>
            </w:r>
            <w:r>
              <w:rPr>
                <w:rFonts w:hint="eastAsia" w:eastAsiaTheme="minorEastAsia"/>
                <w:lang w:val="en-US" w:eastAsia="zh-CN"/>
              </w:rPr>
              <w:t xml:space="preserve"> T_uncertainy</w:t>
            </w:r>
          </w:p>
          <w:p>
            <w:pPr>
              <w:pStyle w:val="29"/>
              <w:numPr>
                <w:ilvl w:val="0"/>
                <w:numId w:val="8"/>
              </w:numPr>
              <w:spacing w:after="120" w:line="240" w:lineRule="auto"/>
              <w:ind w:left="1004" w:firstLineChars="0"/>
              <w:jc w:val="both"/>
              <w:rPr>
                <w:rFonts w:eastAsiaTheme="minorEastAsia"/>
                <w:lang w:val="en-US" w:eastAsia="zh-CN"/>
              </w:rPr>
            </w:pPr>
            <w:r>
              <w:rPr>
                <w:rFonts w:hint="eastAsia" w:eastAsiaTheme="minorEastAsia"/>
                <w:lang w:val="en-US" w:eastAsia="zh-CN"/>
              </w:rPr>
              <w:t xml:space="preserve">UE should have enough </w:t>
            </w:r>
            <w:r>
              <w:rPr>
                <w:lang w:val="en-US" w:eastAsia="zh-CN"/>
              </w:rPr>
              <w:t>number of OD-SSB samples</w:t>
            </w:r>
            <w:r>
              <w:rPr>
                <w:rFonts w:hint="eastAsia" w:eastAsiaTheme="minorEastAsia"/>
                <w:lang w:val="en-US" w:eastAsia="zh-CN"/>
              </w:rPr>
              <w:t xml:space="preserve"> to achieve the measurement requirement. </w:t>
            </w:r>
          </w:p>
          <w:p>
            <w:pPr>
              <w:pStyle w:val="29"/>
              <w:numPr>
                <w:ilvl w:val="0"/>
                <w:numId w:val="8"/>
              </w:numPr>
              <w:spacing w:after="120" w:line="240" w:lineRule="auto"/>
              <w:ind w:left="1004" w:firstLineChars="0"/>
              <w:jc w:val="both"/>
              <w:rPr>
                <w:rFonts w:hint="eastAsia" w:cs="Arial"/>
                <w:vertAlign w:val="baseline"/>
                <w:lang w:val="en-US" w:eastAsia="zh-CN"/>
              </w:rPr>
            </w:pPr>
            <w:r>
              <w:rPr>
                <w:rFonts w:hint="eastAsia" w:eastAsiaTheme="minorEastAsia"/>
                <w:lang w:val="en-US" w:eastAsia="zh-CN"/>
              </w:rPr>
              <w:t>The number of OD-SSB is FFS.</w:t>
            </w:r>
          </w:p>
          <w:p>
            <w:pPr>
              <w:pStyle w:val="29"/>
              <w:numPr>
                <w:ilvl w:val="0"/>
                <w:numId w:val="8"/>
              </w:numPr>
              <w:spacing w:after="120" w:line="240" w:lineRule="auto"/>
              <w:ind w:left="1004" w:firstLineChars="0"/>
              <w:jc w:val="both"/>
              <w:rPr>
                <w:rFonts w:hint="eastAsia" w:cs="Arial"/>
                <w:vertAlign w:val="baseline"/>
                <w:lang w:val="en-US" w:eastAsia="zh-CN"/>
              </w:rPr>
            </w:pPr>
            <w:r>
              <w:rPr>
                <w:rFonts w:hint="eastAsia" w:eastAsiaTheme="minorEastAsia"/>
                <w:lang w:val="en-US" w:eastAsia="zh-CN"/>
              </w:rPr>
              <w:t>FFS whether UE measurement reporting is needed</w:t>
            </w:r>
          </w:p>
          <w:p>
            <w:pPr>
              <w:bidi w:val="0"/>
              <w:rPr>
                <w:b/>
                <w:bCs/>
                <w:sz w:val="24"/>
                <w:szCs w:val="24"/>
                <w:lang w:val="en-US"/>
              </w:rPr>
            </w:pPr>
            <w:r>
              <w:rPr>
                <w:b/>
                <w:bCs/>
                <w:sz w:val="24"/>
                <w:szCs w:val="24"/>
                <w:lang w:val="en-US"/>
              </w:rPr>
              <w:t xml:space="preserve">Sub-topic </w:t>
            </w:r>
            <w:r>
              <w:rPr>
                <w:rFonts w:hint="eastAsia"/>
                <w:b/>
                <w:bCs/>
                <w:sz w:val="24"/>
                <w:szCs w:val="24"/>
                <w:lang w:val="en-US"/>
              </w:rPr>
              <w:t>1</w:t>
            </w:r>
            <w:r>
              <w:rPr>
                <w:b/>
                <w:bCs/>
                <w:sz w:val="24"/>
                <w:szCs w:val="24"/>
                <w:lang w:val="en-US"/>
              </w:rPr>
              <w:t>-</w:t>
            </w:r>
            <w:r>
              <w:rPr>
                <w:rFonts w:hint="eastAsia"/>
                <w:b/>
                <w:bCs/>
                <w:sz w:val="24"/>
                <w:szCs w:val="24"/>
                <w:lang w:val="en-US"/>
              </w:rPr>
              <w:t>4</w:t>
            </w:r>
            <w:r>
              <w:rPr>
                <w:b/>
                <w:bCs/>
                <w:sz w:val="24"/>
                <w:szCs w:val="24"/>
                <w:lang w:val="en-US"/>
              </w:rPr>
              <w:t xml:space="preserve">: </w:t>
            </w:r>
            <w:r>
              <w:rPr>
                <w:rFonts w:hint="eastAsia"/>
                <w:b/>
                <w:bCs/>
                <w:sz w:val="24"/>
                <w:szCs w:val="24"/>
                <w:lang w:val="en-US"/>
              </w:rPr>
              <w:t>OD-SSB based SCell activation</w:t>
            </w:r>
          </w:p>
          <w:p>
            <w:pPr>
              <w:tabs>
                <w:tab w:val="left" w:pos="1680"/>
              </w:tabs>
              <w:snapToGrid w:val="0"/>
              <w:spacing w:after="120" w:line="240" w:lineRule="auto"/>
              <w:rPr>
                <w:b/>
                <w:color w:val="000000" w:themeColor="text1"/>
                <w:sz w:val="21"/>
                <w:szCs w:val="21"/>
                <w:u w:val="single"/>
                <w:lang w:eastAsia="zh-CN"/>
                <w14:textFill>
                  <w14:solidFill>
                    <w14:schemeClr w14:val="tx1"/>
                  </w14:solidFill>
                </w14:textFill>
              </w:rPr>
            </w:pPr>
            <w:r>
              <w:rPr>
                <w:b/>
                <w:color w:val="000000" w:themeColor="text1"/>
                <w:sz w:val="21"/>
                <w:szCs w:val="21"/>
                <w:u w:val="single"/>
                <w:lang w:eastAsia="ko-KR"/>
                <w14:textFill>
                  <w14:solidFill>
                    <w14:schemeClr w14:val="tx1"/>
                  </w14:solidFill>
                </w14:textFill>
              </w:rPr>
              <w:t xml:space="preserve">Issue </w:t>
            </w:r>
            <w:r>
              <w:rPr>
                <w:b/>
                <w:color w:val="000000" w:themeColor="text1"/>
                <w:sz w:val="21"/>
                <w:szCs w:val="21"/>
                <w:u w:val="single"/>
                <w:lang w:eastAsia="zh-CN"/>
                <w14:textFill>
                  <w14:solidFill>
                    <w14:schemeClr w14:val="tx1"/>
                  </w14:solidFill>
                </w14:textFill>
              </w:rPr>
              <w:t>1-4-1: The known cell condition – measurement reporting</w:t>
            </w:r>
          </w:p>
          <w:p>
            <w:pPr>
              <w:autoSpaceDN w:val="0"/>
              <w:snapToGrid w:val="0"/>
              <w:spacing w:line="240" w:lineRule="auto"/>
              <w:rPr>
                <w:color w:val="000000" w:themeColor="text1"/>
                <w:sz w:val="21"/>
                <w:szCs w:val="21"/>
                <w:highlight w:val="green"/>
                <w14:textFill>
                  <w14:solidFill>
                    <w14:schemeClr w14:val="tx1"/>
                  </w14:solidFill>
                </w14:textFill>
              </w:rPr>
            </w:pPr>
            <w:r>
              <w:rPr>
                <w:rFonts w:hint="eastAsia"/>
                <w:color w:val="000000" w:themeColor="text1"/>
                <w:sz w:val="21"/>
                <w:szCs w:val="21"/>
                <w:highlight w:val="green"/>
                <w:lang w:eastAsia="zh-CN"/>
                <w14:textFill>
                  <w14:solidFill>
                    <w14:schemeClr w14:val="tx1"/>
                  </w14:solidFill>
                </w14:textFill>
              </w:rPr>
              <w:t>Agre</w:t>
            </w:r>
            <w:r>
              <w:rPr>
                <w:color w:val="000000" w:themeColor="text1"/>
                <w:sz w:val="21"/>
                <w:szCs w:val="21"/>
                <w:highlight w:val="green"/>
                <w14:textFill>
                  <w14:solidFill>
                    <w14:schemeClr w14:val="tx1"/>
                  </w14:solidFill>
                </w14:textFill>
              </w:rPr>
              <w:t xml:space="preserve">ement: </w:t>
            </w:r>
          </w:p>
          <w:p>
            <w:pPr>
              <w:pStyle w:val="29"/>
              <w:numPr>
                <w:ilvl w:val="0"/>
                <w:numId w:val="7"/>
              </w:numPr>
              <w:overflowPunct/>
              <w:autoSpaceDE/>
              <w:adjustRightInd/>
              <w:snapToGrid w:val="0"/>
              <w:spacing w:after="120" w:line="240" w:lineRule="auto"/>
              <w:ind w:firstLineChars="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In case 1, known/unknown condition should be defined based on only OD-SSB. </w:t>
            </w:r>
          </w:p>
          <w:p>
            <w:pPr>
              <w:pStyle w:val="29"/>
              <w:numPr>
                <w:ilvl w:val="0"/>
                <w:numId w:val="7"/>
              </w:numPr>
              <w:overflowPunct/>
              <w:autoSpaceDE/>
              <w:adjustRightInd/>
              <w:snapToGrid w:val="0"/>
              <w:spacing w:after="120" w:line="240" w:lineRule="auto"/>
              <w:ind w:firstLineChars="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In case 2, known/unknown condition should be defined based on either always-on SSB or OD-SSB.</w:t>
            </w:r>
          </w:p>
          <w:p>
            <w:pPr>
              <w:pStyle w:val="29"/>
              <w:numPr>
                <w:ilvl w:val="1"/>
                <w:numId w:val="7"/>
              </w:numPr>
              <w:overflowPunct/>
              <w:autoSpaceDE/>
              <w:adjustRightInd/>
              <w:snapToGrid w:val="0"/>
              <w:spacing w:after="120" w:line="240" w:lineRule="auto"/>
              <w:ind w:firstLineChars="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Note 1: whether the always-on SSB and OD-SSB can be combined is discussed in another issue. </w:t>
            </w:r>
          </w:p>
          <w:p>
            <w:pPr>
              <w:pStyle w:val="29"/>
              <w:numPr>
                <w:ilvl w:val="1"/>
                <w:numId w:val="7"/>
              </w:numPr>
              <w:overflowPunct/>
              <w:autoSpaceDE/>
              <w:adjustRightInd/>
              <w:snapToGrid w:val="0"/>
              <w:spacing w:after="120" w:line="240" w:lineRule="auto"/>
              <w:ind w:firstLineChars="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Note 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the agreement is valid at least for the scenario with the same frequency for always-on SSB and OD-SSB.</w:t>
            </w:r>
          </w:p>
          <w:p>
            <w:pPr>
              <w:pStyle w:val="29"/>
              <w:numPr>
                <w:ilvl w:val="1"/>
                <w:numId w:val="7"/>
              </w:numPr>
              <w:overflowPunct/>
              <w:autoSpaceDE/>
              <w:adjustRightInd/>
              <w:snapToGrid w:val="0"/>
              <w:spacing w:after="120" w:line="240" w:lineRule="auto"/>
              <w:ind w:firstLineChars="0"/>
              <w:textAlignment w:val="auto"/>
              <w:rPr>
                <w:b/>
                <w:sz w:val="21"/>
                <w:szCs w:val="21"/>
                <w:u w:val="single"/>
                <w:lang w:eastAsia="zh-CN"/>
              </w:rPr>
            </w:pPr>
            <w:r>
              <w:rPr>
                <w:rFonts w:hint="eastAsia"/>
                <w:color w:val="000000" w:themeColor="text1"/>
                <w:szCs w:val="21"/>
                <w14:textFill>
                  <w14:solidFill>
                    <w14:schemeClr w14:val="tx1"/>
                  </w14:solidFill>
                </w14:textFill>
              </w:rPr>
              <w:t>N</w:t>
            </w:r>
            <w:r>
              <w:rPr>
                <w:color w:val="000000" w:themeColor="text1"/>
                <w:szCs w:val="21"/>
                <w14:textFill>
                  <w14:solidFill>
                    <w14:schemeClr w14:val="tx1"/>
                  </w14:solidFill>
                </w14:textFill>
              </w:rPr>
              <w:t>ote 3: RAN4 to further clarify the relation for the SSB measured</w:t>
            </w:r>
            <w:r>
              <w:rPr>
                <w:color w:val="FF0000"/>
                <w:szCs w:val="21"/>
              </w:rPr>
              <w:t xml:space="preserve"> </w:t>
            </w:r>
            <w:r>
              <w:rPr>
                <w:color w:val="000000" w:themeColor="text1"/>
                <w:szCs w:val="21"/>
                <w14:textFill>
                  <w14:solidFill>
                    <w14:schemeClr w14:val="tx1"/>
                  </w14:solidFill>
                </w14:textFill>
              </w:rPr>
              <w:t>for known cell condition and the SSB used in SCell activation procedure.</w:t>
            </w:r>
          </w:p>
          <w:p>
            <w:pPr>
              <w:autoSpaceDN w:val="0"/>
              <w:snapToGrid w:val="0"/>
              <w:spacing w:after="120" w:line="240" w:lineRule="auto"/>
              <w:rPr>
                <w:b/>
                <w:color w:val="000000" w:themeColor="text1"/>
                <w:sz w:val="21"/>
                <w:szCs w:val="21"/>
                <w:u w:val="single"/>
                <w:lang w:eastAsia="zh-CN"/>
                <w14:textFill>
                  <w14:solidFill>
                    <w14:schemeClr w14:val="tx1"/>
                  </w14:solidFill>
                </w14:textFill>
              </w:rPr>
            </w:pPr>
            <w:r>
              <w:rPr>
                <w:b/>
                <w:color w:val="000000" w:themeColor="text1"/>
                <w:sz w:val="21"/>
                <w:szCs w:val="21"/>
                <w:u w:val="single"/>
                <w:lang w:eastAsia="ko-KR"/>
                <w14:textFill>
                  <w14:solidFill>
                    <w14:schemeClr w14:val="tx1"/>
                  </w14:solidFill>
                </w14:textFill>
              </w:rPr>
              <w:t xml:space="preserve">Issue </w:t>
            </w:r>
            <w:r>
              <w:rPr>
                <w:b/>
                <w:color w:val="000000" w:themeColor="text1"/>
                <w:sz w:val="21"/>
                <w:szCs w:val="21"/>
                <w:u w:val="single"/>
                <w:lang w:eastAsia="zh-CN"/>
                <w14:textFill>
                  <w14:solidFill>
                    <w14:schemeClr w14:val="tx1"/>
                  </w14:solidFill>
                </w14:textFill>
              </w:rPr>
              <w:t>1-4-5: SCell activation requirement – OD-SSB periodicity</w:t>
            </w:r>
          </w:p>
          <w:p>
            <w:pPr>
              <w:autoSpaceDN w:val="0"/>
              <w:snapToGrid w:val="0"/>
              <w:spacing w:line="240" w:lineRule="auto"/>
              <w:rPr>
                <w:color w:val="000000" w:themeColor="text1"/>
                <w:sz w:val="21"/>
                <w:szCs w:val="21"/>
                <w:highlight w:val="green"/>
                <w14:textFill>
                  <w14:solidFill>
                    <w14:schemeClr w14:val="tx1"/>
                  </w14:solidFill>
                </w14:textFill>
              </w:rPr>
            </w:pPr>
            <w:r>
              <w:rPr>
                <w:rFonts w:hint="eastAsia"/>
                <w:color w:val="000000" w:themeColor="text1"/>
                <w:sz w:val="21"/>
                <w:szCs w:val="21"/>
                <w:highlight w:val="green"/>
                <w:lang w:eastAsia="zh-CN"/>
                <w14:textFill>
                  <w14:solidFill>
                    <w14:schemeClr w14:val="tx1"/>
                  </w14:solidFill>
                </w14:textFill>
              </w:rPr>
              <w:t>Agre</w:t>
            </w:r>
            <w:r>
              <w:rPr>
                <w:color w:val="000000" w:themeColor="text1"/>
                <w:sz w:val="21"/>
                <w:szCs w:val="21"/>
                <w:highlight w:val="green"/>
                <w14:textFill>
                  <w14:solidFill>
                    <w14:schemeClr w14:val="tx1"/>
                  </w14:solidFill>
                </w14:textFill>
              </w:rPr>
              <w:t xml:space="preserve">ement: </w:t>
            </w:r>
          </w:p>
          <w:p>
            <w:pPr>
              <w:pStyle w:val="29"/>
              <w:numPr>
                <w:ilvl w:val="0"/>
                <w:numId w:val="7"/>
              </w:numPr>
              <w:overflowPunct/>
              <w:autoSpaceDE/>
              <w:adjustRightInd/>
              <w:snapToGrid w:val="0"/>
              <w:spacing w:after="120" w:line="240" w:lineRule="auto"/>
              <w:ind w:firstLineChars="0"/>
              <w:jc w:val="both"/>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In Case 1, the SCell activation delay requirement is defined based on OD-SSB periodicity. </w:t>
            </w:r>
          </w:p>
          <w:p>
            <w:pPr>
              <w:pStyle w:val="29"/>
              <w:numPr>
                <w:ilvl w:val="1"/>
                <w:numId w:val="7"/>
              </w:numPr>
              <w:overflowPunct/>
              <w:autoSpaceDE/>
              <w:adjustRightInd/>
              <w:snapToGrid w:val="0"/>
              <w:spacing w:after="120" w:line="240" w:lineRule="auto"/>
              <w:ind w:firstLineChars="0"/>
              <w:jc w:val="both"/>
              <w:textAlignment w:val="auto"/>
              <w:rPr>
                <w:szCs w:val="21"/>
              </w:rPr>
            </w:pPr>
            <w:r>
              <w:rPr>
                <w:color w:val="000000" w:themeColor="text1"/>
                <w:szCs w:val="21"/>
                <w14:textFill>
                  <w14:solidFill>
                    <w14:schemeClr w14:val="tx1"/>
                  </w14:solidFill>
                </w14:textFill>
              </w:rPr>
              <w:t xml:space="preserve">Existing SCell activation delay requirement shall apply based on OD-SSB </w:t>
            </w:r>
            <w:r>
              <w:rPr>
                <w:szCs w:val="21"/>
              </w:rPr>
              <w:t>periodicity.</w:t>
            </w:r>
          </w:p>
          <w:p>
            <w:pPr>
              <w:pStyle w:val="29"/>
              <w:numPr>
                <w:ilvl w:val="0"/>
                <w:numId w:val="7"/>
              </w:numPr>
              <w:overflowPunct/>
              <w:autoSpaceDE/>
              <w:adjustRightInd/>
              <w:snapToGrid w:val="0"/>
              <w:spacing w:after="120" w:line="240" w:lineRule="auto"/>
              <w:ind w:firstLineChars="0"/>
              <w:jc w:val="both"/>
              <w:textAlignment w:val="auto"/>
              <w:rPr>
                <w:szCs w:val="21"/>
              </w:rPr>
            </w:pPr>
            <w:r>
              <w:rPr>
                <w:szCs w:val="21"/>
              </w:rPr>
              <w:t>In Case 2, RAN4 to define the SCell activation delay requirement based on OD-SSB periodicity if the time instance receiving OD-SSB activation indication is no later than the time instance when receiving the SCell activation command. Otherwise, RAN4 to define the requirement based on always-on SSB for SCell activation.</w:t>
            </w:r>
          </w:p>
          <w:p>
            <w:pPr>
              <w:pStyle w:val="29"/>
              <w:numPr>
                <w:ilvl w:val="1"/>
                <w:numId w:val="7"/>
              </w:numPr>
              <w:overflowPunct/>
              <w:autoSpaceDE/>
              <w:adjustRightInd/>
              <w:snapToGrid w:val="0"/>
              <w:spacing w:after="120" w:line="240" w:lineRule="auto"/>
              <w:ind w:firstLineChars="0"/>
              <w:textAlignment w:val="auto"/>
              <w:rPr>
                <w:szCs w:val="21"/>
              </w:rPr>
            </w:pPr>
            <w:r>
              <w:rPr>
                <w:rFonts w:hint="eastAsia"/>
                <w:szCs w:val="21"/>
              </w:rPr>
              <w:t>T</w:t>
            </w:r>
            <w:r>
              <w:rPr>
                <w:szCs w:val="21"/>
              </w:rPr>
              <w:t>h</w:t>
            </w:r>
            <w:r>
              <w:rPr>
                <w:rFonts w:hint="eastAsia"/>
                <w:szCs w:val="21"/>
              </w:rPr>
              <w:t>is</w:t>
            </w:r>
            <w:r>
              <w:rPr>
                <w:szCs w:val="21"/>
              </w:rPr>
              <w:t xml:space="preserve"> agreement is valid under the assumption of the same spatial relation for OD-SSB and always-on SSB [with the same SSB index], and this can be revisited based on RAN1 LS reply.</w:t>
            </w:r>
          </w:p>
          <w:p>
            <w:pPr>
              <w:pStyle w:val="29"/>
              <w:numPr>
                <w:ilvl w:val="0"/>
                <w:numId w:val="7"/>
              </w:numPr>
              <w:overflowPunct/>
              <w:autoSpaceDE/>
              <w:adjustRightInd/>
              <w:snapToGrid w:val="0"/>
              <w:spacing w:after="120" w:line="240" w:lineRule="auto"/>
              <w:ind w:firstLineChars="0"/>
              <w:jc w:val="both"/>
              <w:textAlignment w:val="auto"/>
              <w:rPr>
                <w:rFonts w:hint="eastAsia" w:cs="Arial"/>
                <w:vertAlign w:val="baseline"/>
                <w:lang w:val="en-US" w:eastAsia="zh-CN"/>
              </w:rPr>
            </w:pPr>
            <w:r>
              <w:rPr>
                <w:szCs w:val="21"/>
              </w:rPr>
              <w:t>Note: T_firstSSB_max for intra-band co-located scenario is discussed in another issue.</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further views around the on-demand SSB SCell operation.</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The R19 NES aims to further realize NW energy saving through other solutions differing from R18. Furthermore, the applicable scenarios between R18 and R19 are more or less different. After several meetings</w:t>
      </w:r>
      <w:r>
        <w:rPr>
          <w:rFonts w:hint="default"/>
          <w:lang w:val="en-US" w:eastAsia="zh-CN"/>
        </w:rPr>
        <w:t>’</w:t>
      </w:r>
      <w:r>
        <w:rPr>
          <w:rFonts w:hint="eastAsia"/>
          <w:lang w:val="en-US" w:eastAsia="zh-CN"/>
        </w:rPr>
        <w:t xml:space="preserve"> constructive discussion, around how to apply on-demand SSB, the deactivated SCell measurement and SCell activation procedure were identified as the applicable scenarios. Besides the specific discussion on the two applicable scenarios, some general issues should be determined.</w:t>
      </w:r>
    </w:p>
    <w:p>
      <w:pPr>
        <w:pStyle w:val="3"/>
        <w:bidi w:val="0"/>
        <w:rPr>
          <w:rFonts w:hint="eastAsia"/>
          <w:lang w:val="en-US" w:eastAsia="zh-CN"/>
        </w:rPr>
      </w:pPr>
      <w:r>
        <w:rPr>
          <w:rFonts w:hint="eastAsia"/>
          <w:lang w:val="en-US" w:eastAsia="zh-CN"/>
        </w:rPr>
        <w:t xml:space="preserve">2.1 General on-demand SSB aspects </w:t>
      </w:r>
    </w:p>
    <w:p>
      <w:pPr>
        <w:rPr>
          <w:rFonts w:hint="eastAsia"/>
          <w:lang w:val="en-US" w:eastAsia="zh-CN"/>
        </w:rPr>
      </w:pPr>
      <w:r>
        <w:rPr>
          <w:rFonts w:hint="eastAsia"/>
          <w:lang w:val="en-US" w:eastAsia="zh-CN"/>
        </w:rPr>
        <w:t>RAN4 still did not confirm the T_min assumption in RAN1 LS. The latest T_min achieved in RAN1#118bis meeting is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bCs/>
                <w:lang w:eastAsia="zh-CN"/>
              </w:rPr>
            </w:pPr>
            <w:r>
              <w:rPr>
                <w:b/>
                <w:bCs/>
                <w:highlight w:val="green"/>
                <w:lang w:eastAsia="zh-CN"/>
              </w:rPr>
              <w:t>RAN1 #118</w:t>
            </w:r>
            <w:r>
              <w:rPr>
                <w:rFonts w:hint="eastAsia"/>
                <w:b/>
                <w:bCs/>
                <w:highlight w:val="green"/>
                <w:lang w:eastAsia="zh-CN"/>
              </w:rPr>
              <w:t>bis</w:t>
            </w:r>
            <w:r>
              <w:rPr>
                <w:b/>
                <w:bCs/>
                <w:highlight w:val="green"/>
                <w:lang w:eastAsia="zh-CN"/>
              </w:rPr>
              <w:t xml:space="preserve"> </w:t>
            </w:r>
            <w:r>
              <w:rPr>
                <w:b/>
                <w:bCs/>
                <w:highlight w:val="green"/>
              </w:rPr>
              <w:t>Agreement</w:t>
            </w:r>
          </w:p>
          <w:p>
            <w:pPr>
              <w:spacing w:after="160" w:line="256" w:lineRule="auto"/>
              <w:contextualSpacing/>
              <w:jc w:val="both"/>
              <w:rPr>
                <w:rFonts w:ascii="Times New Roman" w:hAnsi="Times New Roman" w:eastAsia="Malgun Gothic"/>
                <w:lang w:val="en-US" w:eastAsia="ko-KR"/>
              </w:rPr>
            </w:pPr>
            <w:r>
              <w:rPr>
                <w:rFonts w:hint="eastAsia" w:ascii="Times New Roman" w:hAnsi="Times New Roman" w:eastAsia="Malgun Gothic"/>
                <w:lang w:val="en-US" w:eastAsia="ko-KR"/>
              </w:rPr>
              <w:t xml:space="preserve">The previous RAN1 agreement is </w:t>
            </w:r>
            <w:r>
              <w:rPr>
                <w:rFonts w:ascii="Times New Roman" w:hAnsi="Times New Roman" w:eastAsia="Malgun Gothic"/>
                <w:lang w:val="en-US" w:eastAsia="ko-KR"/>
              </w:rPr>
              <w:t xml:space="preserve">partly confirmed and </w:t>
            </w:r>
            <w:r>
              <w:rPr>
                <w:rFonts w:hint="eastAsia" w:ascii="Times New Roman" w:hAnsi="Times New Roman" w:eastAsia="Malgun Gothic"/>
                <w:color w:val="FF0000"/>
                <w:lang w:val="en-US" w:eastAsia="ko-KR"/>
              </w:rPr>
              <w:t xml:space="preserve">further revised </w:t>
            </w:r>
            <w:r>
              <w:rPr>
                <w:rFonts w:hint="eastAsia" w:ascii="Times New Roman" w:hAnsi="Times New Roman" w:eastAsia="Malgun Gothic"/>
                <w:lang w:val="en-US" w:eastAsia="ko-KR"/>
              </w:rPr>
              <w:t>as follows.</w:t>
            </w:r>
          </w:p>
          <w:p>
            <w:pPr>
              <w:numPr>
                <w:ilvl w:val="0"/>
                <w:numId w:val="9"/>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hint="eastAsia" w:ascii="Times New Roman" w:hAnsi="Times New Roman"/>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pPr>
              <w:numPr>
                <w:ilvl w:val="1"/>
                <w:numId w:val="9"/>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hint="eastAsia" w:ascii="Times New Roman" w:hAnsi="Times New Roman"/>
                <w:szCs w:val="20"/>
                <w:lang w:eastAsia="ko-KR"/>
              </w:rPr>
              <w:t xml:space="preserve">the beginning of the first slot containing </w:t>
            </w:r>
            <w:r>
              <w:rPr>
                <w:rFonts w:hint="eastAsia" w:ascii="Times New Roman" w:hAnsi="Times New Roman"/>
                <w:strike/>
                <w:color w:val="FF0000"/>
                <w:szCs w:val="20"/>
                <w:lang w:eastAsia="ko-KR"/>
              </w:rPr>
              <w:t xml:space="preserve">[candidate SSB index 0 or </w:t>
            </w:r>
            <w:r>
              <w:rPr>
                <w:rFonts w:hint="eastAsia" w:ascii="Times New Roman" w:hAnsi="Times New Roman"/>
                <w:szCs w:val="20"/>
                <w:lang w:eastAsia="ko-KR"/>
              </w:rPr>
              <w:t>the first actually transmitted SSB index</w:t>
            </w:r>
            <w:r>
              <w:rPr>
                <w:rFonts w:hint="eastAsia" w:ascii="Times New Roman" w:hAnsi="Times New Roman"/>
                <w:strike/>
                <w:color w:val="FF0000"/>
                <w:szCs w:val="20"/>
                <w:lang w:eastAsia="ko-KR"/>
              </w:rPr>
              <w:t>]</w:t>
            </w:r>
            <w:r>
              <w:rPr>
                <w:rFonts w:hint="eastAsia" w:ascii="Times New Roman" w:hAnsi="Times New Roman"/>
                <w:szCs w:val="20"/>
                <w:lang w:eastAsia="ko-KR"/>
              </w:rPr>
              <w:t xml:space="preserve"> </w:t>
            </w:r>
            <w:r>
              <w:rPr>
                <w:rFonts w:ascii="Times New Roman" w:hAnsi="Times New Roman"/>
                <w:color w:val="FF0000"/>
                <w:szCs w:val="20"/>
                <w:lang w:eastAsia="ko-KR"/>
              </w:rPr>
              <w:t>within</w:t>
            </w:r>
            <w:r>
              <w:rPr>
                <w:rFonts w:hint="eastAsia" w:ascii="Times New Roman" w:hAnsi="Times New Roman"/>
                <w:szCs w:val="20"/>
                <w:lang w:eastAsia="ko-KR"/>
              </w:rPr>
              <w:t xml:space="preserve"> </w:t>
            </w:r>
            <w:r>
              <w:rPr>
                <w:rFonts w:ascii="Times New Roman" w:hAnsi="Times New Roman"/>
                <w:color w:val="FF0000"/>
                <w:szCs w:val="20"/>
                <w:lang w:eastAsia="ko-KR"/>
              </w:rPr>
              <w:t>the first “</w:t>
            </w:r>
            <w:r>
              <w:rPr>
                <w:rFonts w:hint="eastAsia" w:ascii="Times New Roman" w:hAnsi="Times New Roman"/>
                <w:color w:val="FF0000"/>
                <w:szCs w:val="20"/>
                <w:lang w:eastAsia="ko-KR"/>
              </w:rPr>
              <w:t>possible</w:t>
            </w:r>
            <w:r>
              <w:rPr>
                <w:rFonts w:ascii="Times New Roman" w:hAnsi="Times New Roman"/>
                <w:color w:val="FF0000"/>
                <w:szCs w:val="20"/>
                <w:lang w:eastAsia="ko-KR"/>
              </w:rPr>
              <w:t xml:space="preserve">” </w:t>
            </w:r>
            <w:r>
              <w:rPr>
                <w:rFonts w:hint="eastAsia" w:ascii="Times New Roman" w:hAnsi="Times New Roman"/>
                <w:szCs w:val="20"/>
                <w:lang w:eastAsia="ko-KR"/>
              </w:rPr>
              <w:t xml:space="preserve">on-demand SSB burst </w:t>
            </w:r>
            <w:r>
              <w:rPr>
                <w:rFonts w:ascii="Times New Roman" w:hAnsi="Times New Roman"/>
                <w:szCs w:val="20"/>
                <w:lang w:eastAsia="ko-KR"/>
              </w:rPr>
              <w:t xml:space="preserve">which is </w:t>
            </w:r>
            <w:r>
              <w:rPr>
                <w:rFonts w:hint="eastAsia" w:ascii="Times New Roman" w:hAnsi="Times New Roman"/>
                <w:color w:val="FF0000"/>
                <w:szCs w:val="20"/>
                <w:highlight w:val="green"/>
                <w:lang w:eastAsia="ko-KR"/>
              </w:rPr>
              <w:t>at least</w:t>
            </w:r>
            <w:r>
              <w:rPr>
                <w:rFonts w:hint="eastAsia" w:ascii="Times New Roman" w:hAnsi="Times New Roman"/>
                <w:szCs w:val="20"/>
                <w:lang w:eastAsia="ko-KR"/>
              </w:rPr>
              <w:t xml:space="preserve"> </w:t>
            </w:r>
            <w:r>
              <w:rPr>
                <w:rFonts w:ascii="Times New Roman" w:hAnsi="Times New Roman"/>
                <w:szCs w:val="20"/>
                <w:lang w:eastAsia="ko-KR"/>
              </w:rPr>
              <w:t>T slots after the slot where UE receives a signalling from gNB to indicate on-demand SSB transmission</w:t>
            </w:r>
          </w:p>
          <w:p>
            <w:pPr>
              <w:numPr>
                <w:ilvl w:val="2"/>
                <w:numId w:val="9"/>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pPr>
              <w:numPr>
                <w:ilvl w:val="3"/>
                <w:numId w:val="9"/>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hint="eastAsia" w:ascii="Times New Roman" w:hAnsi="Times New Roman"/>
                <w:color w:val="FF0000"/>
                <w:szCs w:val="20"/>
                <w:lang w:eastAsia="ko-KR"/>
              </w:rPr>
              <w:t xml:space="preserve"> (</w:t>
            </w:r>
            <w:r>
              <w:rPr>
                <w:rFonts w:ascii="Times New Roman" w:hAnsi="Times New Roman"/>
                <w:color w:val="FF0000"/>
                <w:szCs w:val="20"/>
                <w:lang w:eastAsia="ko-KR"/>
              </w:rPr>
              <w:t>e.g.</w:t>
            </w:r>
            <w:r>
              <w:rPr>
                <w:rFonts w:hint="eastAsia" w:ascii="Times New Roman" w:hAnsi="Times New Roman"/>
                <w:color w:val="FF0000"/>
                <w:szCs w:val="20"/>
                <w:lang w:eastAsia="ko-KR"/>
              </w:rPr>
              <w:t>, SFN offset, half frame index)</w:t>
            </w:r>
            <w:r>
              <w:rPr>
                <w:rFonts w:ascii="Times New Roman" w:hAnsi="Times New Roman"/>
                <w:color w:val="FF0000"/>
                <w:szCs w:val="20"/>
                <w:lang w:eastAsia="ko-KR"/>
              </w:rPr>
              <w:t xml:space="preserve"> in the time domain of “</w:t>
            </w:r>
            <w:r>
              <w:rPr>
                <w:rFonts w:hint="eastAsia" w:ascii="Times New Roman" w:hAnsi="Times New Roman"/>
                <w:color w:val="FF0000"/>
                <w:szCs w:val="20"/>
                <w:lang w:eastAsia="ko-KR"/>
              </w:rPr>
              <w:t>possible</w:t>
            </w:r>
            <w:r>
              <w:rPr>
                <w:rFonts w:ascii="Times New Roman" w:hAnsi="Times New Roman"/>
                <w:color w:val="FF0000"/>
                <w:szCs w:val="20"/>
                <w:lang w:eastAsia="ko-KR"/>
              </w:rPr>
              <w:t xml:space="preserve">” </w:t>
            </w:r>
            <w:r>
              <w:rPr>
                <w:rFonts w:hint="eastAsia" w:ascii="Times New Roman" w:hAnsi="Times New Roman"/>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gNB</w:t>
            </w:r>
          </w:p>
          <w:p>
            <w:pPr>
              <w:numPr>
                <w:ilvl w:val="1"/>
                <w:numId w:val="9"/>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pPr>
              <w:numPr>
                <w:ilvl w:val="1"/>
                <w:numId w:val="9"/>
              </w:numPr>
              <w:contextualSpacing/>
              <w:jc w:val="both"/>
              <w:rPr>
                <w:rFonts w:ascii="Times New Roman" w:hAnsi="Times New Roman"/>
                <w:szCs w:val="20"/>
                <w:lang w:eastAsia="ko-KR"/>
              </w:rPr>
            </w:pPr>
            <w:r>
              <w:rPr>
                <w:rFonts w:hint="eastAsia" w:ascii="Times New Roman" w:hAnsi="Times New Roman"/>
                <w:szCs w:val="20"/>
                <w:lang w:eastAsia="ko-KR"/>
              </w:rPr>
              <w:t>(</w:t>
            </w:r>
            <w:r>
              <w:rPr>
                <w:rFonts w:hint="eastAsia" w:ascii="Times New Roman" w:hAnsi="Times New Roman"/>
                <w:szCs w:val="20"/>
                <w:highlight w:val="darkYellow"/>
                <w:lang w:eastAsia="ko-KR"/>
              </w:rPr>
              <w:t>Working assumption</w:t>
            </w:r>
            <w:r>
              <w:rPr>
                <w:rFonts w:hint="eastAsia" w:ascii="Times New Roman" w:hAnsi="Times New Roman"/>
                <w:szCs w:val="20"/>
                <w:lang w:eastAsia="ko-KR"/>
              </w:rPr>
              <w:t>): T is not less than T_min=</w:t>
            </w:r>
            <w:r>
              <w:rPr>
                <w:rFonts w:ascii="Times New Roman" w:hAnsi="Times New Roman"/>
                <w:bCs/>
                <w:szCs w:val="20"/>
                <w:lang w:eastAsia="ko-KR"/>
              </w:rPr>
              <w:fldChar w:fldCharType="begin"/>
            </w:r>
            <w:r>
              <w:rPr>
                <w:rFonts w:ascii="Times New Roman" w:hAnsi="Times New Roman"/>
                <w:bCs/>
                <w:szCs w:val="20"/>
                <w:lang w:eastAsia="ko-KR"/>
              </w:rPr>
              <w:instrText xml:space="preserve"> QUOTE </w:instrText>
            </w:r>
            <w:r>
              <w:rPr>
                <w:rFonts w:hint="eastAsia"/>
                <w:position w:val="-8"/>
              </w:rPr>
              <w:pict>
                <v:shape id="_x0000_i1025" o:spt="75" type="#_x0000_t75" style="height:15pt;width:6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defaultTabStop w:val=&quot;799&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27A5&quot;/&gt;&lt;wsp:rsid wsp:val=&quot;000049DC&quot;/&gt;&lt;wsp:rsid wsp:val=&quot;00006115&quot;/&gt;&lt;wsp:rsid wsp:val=&quot;00006E91&quot;/&gt;&lt;wsp:rsid wsp:val=&quot;00013C50&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5694&quot;/&gt;&lt;wsp:rsid wsp:val=&quot;0002646D&quot;/&gt;&lt;wsp:rsid wsp:val=&quot;0002658D&quot;/&gt;&lt;wsp:rsid wsp:val=&quot;00027418&quot;/&gt;&lt;wsp:rsid wsp:val=&quot;00027793&quot;/&gt;&lt;wsp:rsid wsp:val=&quot;00030286&quot;/&gt;&lt;wsp:rsid wsp:val=&quot;000321DC&quot;/&gt;&lt;wsp:rsid wsp:val=&quot;00032D66&quot;/&gt;&lt;wsp:rsid wsp:val=&quot;00034896&quot;/&gt;&lt;wsp:rsid wsp:val=&quot;00034D4D&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1EEE&quot;/&gt;&lt;wsp:rsid wsp:val=&quot;00063AE7&quot;/&gt;&lt;wsp:rsid wsp:val=&quot;00064CDB&quot;/&gt;&lt;wsp:rsid wsp:val=&quot;000666C0&quot;/&gt;&lt;wsp:rsid wsp:val=&quot;00070E52&quot;/&gt;&lt;wsp:rsid wsp:val=&quot;00073A64&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0F2&quot;/&gt;&lt;wsp:rsid wsp:val=&quot;000969AF&quot;/&gt;&lt;wsp:rsid wsp:val=&quot;000A0641&quot;/&gt;&lt;wsp:rsid wsp:val=&quot;000A3922&quot;/&gt;&lt;wsp:rsid wsp:val=&quot;000A57B3&quot;/&gt;&lt;wsp:rsid wsp:val=&quot;000A5EF6&quot;/&gt;&lt;wsp:rsid wsp:val=&quot;000B0DA5&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229&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0F0529&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411F&quot;/&gt;&lt;wsp:rsid wsp:val=&quot;001452E3&quot;/&gt;&lt;wsp:rsid wsp:val=&quot;00145E2B&quot;/&gt;&lt;wsp:rsid wsp:val=&quot;0014603D&quot;/&gt;&lt;wsp:rsid wsp:val=&quot;00146D61&quot;/&gt;&lt;wsp:rsid wsp:val=&quot;001474C4&quot;/&gt;&lt;wsp:rsid wsp:val=&quot;00150C17&quot;/&gt;&lt;wsp:rsid wsp:val=&quot;0015249E&quot;/&gt;&lt;wsp:rsid wsp:val=&quot;00154717&quot;/&gt;&lt;wsp:rsid wsp:val=&quot;00155082&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0489&quot;/&gt;&lt;wsp:rsid wsp:val=&quot;001804F1&quot;/&gt;&lt;wsp:rsid wsp:val=&quot;001810BD&quot;/&gt;&lt;wsp:rsid wsp:val=&quot;00181906&quot;/&gt;&lt;wsp:rsid wsp:val=&quot;00182437&quot;/&gt;&lt;wsp:rsid wsp:val=&quot;00182D68&quot;/&gt;&lt;wsp:rsid wsp:val=&quot;00184862&quot;/&gt;&lt;wsp:rsid wsp:val=&quot;00184D3E&quot;/&gt;&lt;wsp:rsid wsp:val=&quot;00185777&quot;/&gt;&lt;wsp:rsid wsp:val=&quot;00185CFE&quot;/&gt;&lt;wsp:rsid wsp:val=&quot;00186520&quot;/&gt;&lt;wsp:rsid wsp:val=&quot;00191AC9&quot;/&gt;&lt;wsp:rsid wsp:val=&quot;001941E6&quot;/&gt;&lt;wsp:rsid wsp:val=&quot;0019426E&quot;/&gt;&lt;wsp:rsid wsp:val=&quot;00195BCA&quot;/&gt;&lt;wsp:rsid wsp:val=&quot;00197AA5&quot;/&gt;&lt;wsp:rsid wsp:val=&quot;001A0414&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79F&quot;/&gt;&lt;wsp:rsid wsp:val=&quot;001C3FFD&quot;/&gt;&lt;wsp:rsid wsp:val=&quot;001C40D9&quot;/&gt;&lt;wsp:rsid wsp:val=&quot;001C5621&quot;/&gt;&lt;wsp:rsid wsp:val=&quot;001C74BE&quot;/&gt;&lt;wsp:rsid wsp:val=&quot;001C7C35&quot;/&gt;&lt;wsp:rsid wsp:val=&quot;001D0216&quot;/&gt;&lt;wsp:rsid wsp:val=&quot;001D04E7&quot;/&gt;&lt;wsp:rsid wsp:val=&quot;001D150F&quot;/&gt;&lt;wsp:rsid wsp:val=&quot;001D41B7&quot;/&gt;&lt;wsp:rsid wsp:val=&quot;001D52A5&quot;/&gt;&lt;wsp:rsid wsp:val=&quot;001D5746&quot;/&gt;&lt;wsp:rsid wsp:val=&quot;001D6962&quot;/&gt;&lt;wsp:rsid wsp:val=&quot;001D6F38&quot;/&gt;&lt;wsp:rsid wsp:val=&quot;001D7AE8&quot;/&gt;&lt;wsp:rsid wsp:val=&quot;001D7CDA&quot;/&gt;&lt;wsp:rsid wsp:val=&quot;001E3299&quot;/&gt;&lt;wsp:rsid wsp:val=&quot;001E41BC&quot;/&gt;&lt;wsp:rsid wsp:val=&quot;001E4536&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1F3928&quot;/&gt;&lt;wsp:rsid wsp:val=&quot;002004B2&quot;/&gt;&lt;wsp:rsid wsp:val=&quot;00202C71&quot;/&gt;&lt;wsp:rsid wsp:val=&quot;0020564C&quot;/&gt;&lt;wsp:rsid wsp:val=&quot;00206F84&quot;/&gt;&lt;wsp:rsid wsp:val=&quot;00210B7B&quot;/&gt;&lt;wsp:rsid wsp:val=&quot;00211448&quot;/&gt;&lt;wsp:rsid wsp:val=&quot;0021214B&quot;/&gt;&lt;wsp:rsid wsp:val=&quot;00213E6A&quot;/&gt;&lt;wsp:rsid wsp:val=&quot;00214F2A&quot;/&gt;&lt;wsp:rsid wsp:val=&quot;00216804&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0826&quot;/&gt;&lt;wsp:rsid wsp:val=&quot;0025116B&quot;/&gt;&lt;wsp:rsid wsp:val=&quot;00251A50&quot;/&gt;&lt;wsp:rsid wsp:val=&quot;002526D0&quot;/&gt;&lt;wsp:rsid wsp:val=&quot;0025466B&quot;/&gt;&lt;wsp:rsid wsp:val=&quot;00254FA9&quot;/&gt;&lt;wsp:rsid wsp:val=&quot;002556B6&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D9B&quot;/&gt;&lt;wsp:rsid wsp:val=&quot;00282E2C&quot;/&gt;&lt;wsp:rsid wsp:val=&quot;00282FD2&quot;/&gt;&lt;wsp:rsid wsp:val=&quot;00284207&quot;/&gt;&lt;wsp:rsid wsp:val=&quot;00285E3A&quot;/&gt;&lt;wsp:rsid wsp:val=&quot;00286532&quot;/&gt;&lt;wsp:rsid wsp:val=&quot;002912A8&quot;/&gt;&lt;wsp:rsid wsp:val=&quot;00293C36&quot;/&gt;&lt;wsp:rsid wsp:val=&quot;00293DB3&quot;/&gt;&lt;wsp:rsid wsp:val=&quot;0029433B&quot;/&gt;&lt;wsp:rsid wsp:val=&quot;00294EFB&quot;/&gt;&lt;wsp:rsid wsp:val=&quot;0029757E&quot;/&gt;&lt;wsp:rsid wsp:val=&quot;00297DD6&quot;/&gt;&lt;wsp:rsid wsp:val=&quot;00297DED&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6FA4&quot;/&gt;&lt;wsp:rsid wsp:val=&quot;002C7702&quot;/&gt;&lt;wsp:rsid wsp:val=&quot;002D0410&quot;/&gt;&lt;wsp:rsid wsp:val=&quot;002D1A27&quot;/&gt;&lt;wsp:rsid wsp:val=&quot;002D2CF7&quot;/&gt;&lt;wsp:rsid wsp:val=&quot;002D4D40&quot;/&gt;&lt;wsp:rsid wsp:val=&quot;002D5218&quot;/&gt;&lt;wsp:rsid wsp:val=&quot;002D6E7D&quot;/&gt;&lt;wsp:rsid wsp:val=&quot;002E1DF6&quot;/&gt;&lt;wsp:rsid wsp:val=&quot;002E687D&quot;/&gt;&lt;wsp:rsid wsp:val=&quot;002E74B5&quot;/&gt;&lt;wsp:rsid wsp:val=&quot;002F0759&quot;/&gt;&lt;wsp:rsid wsp:val=&quot;002F10CA&quot;/&gt;&lt;wsp:rsid wsp:val=&quot;002F1E2B&quot;/&gt;&lt;wsp:rsid wsp:val=&quot;002F2880&quot;/&gt;&lt;wsp:rsid wsp:val=&quot;002F4411&quot;/&gt;&lt;wsp:rsid wsp:val=&quot;002F5259&quot;/&gt;&lt;wsp:rsid wsp:val=&quot;002F57D7&quot;/&gt;&lt;wsp:rsid wsp:val=&quot;002F64B1&quot;/&gt;&lt;wsp:rsid wsp:val=&quot;002F7271&quot;/&gt;&lt;wsp:rsid wsp:val=&quot;002F739A&quot;/&gt;&lt;wsp:rsid wsp:val=&quot;00302398&quot;/&gt;&lt;wsp:rsid wsp:val=&quot;00304116&quot;/&gt;&lt;wsp:rsid wsp:val=&quot;003043B3&quot;/&gt;&lt;wsp:rsid wsp:val=&quot;0030490C&quot;/&gt;&lt;wsp:rsid wsp:val=&quot;0030546D&quot;/&gt;&lt;wsp:rsid wsp:val=&quot;0031112E&quot;/&gt;&lt;wsp:rsid wsp:val=&quot;00312317&quot;/&gt;&lt;wsp:rsid wsp:val=&quot;00313594&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2362&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434D&quot;/&gt;&lt;wsp:rsid wsp:val=&quot;00374380&quot;/&gt;&lt;wsp:rsid wsp:val=&quot;00374F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3028&quot;/&gt;&lt;wsp:rsid wsp:val=&quot;00394116&quot;/&gt;&lt;wsp:rsid wsp:val=&quot;00394AC8&quot;/&gt;&lt;wsp:rsid wsp:val=&quot;003957ED&quot;/&gt;&lt;wsp:rsid wsp:val=&quot;00397A6D&quot;/&gt;&lt;wsp:rsid wsp:val=&quot;003A135F&quot;/&gt;&lt;wsp:rsid wsp:val=&quot;003A4382&quot;/&gt;&lt;wsp:rsid wsp:val=&quot;003A4607&quot;/&gt;&lt;wsp:rsid wsp:val=&quot;003A72FB&quot;/&gt;&lt;wsp:rsid wsp:val=&quot;003A7CEB&quot;/&gt;&lt;wsp:rsid wsp:val=&quot;003B0BF8&quot;/&gt;&lt;wsp:rsid wsp:val=&quot;003B2B12&quot;/&gt;&lt;wsp:rsid wsp:val=&quot;003B30EF&quot;/&gt;&lt;wsp:rsid wsp:val=&quot;003B3DC0&quot;/&gt;&lt;wsp:rsid wsp:val=&quot;003B6548&quot;/&gt;&lt;wsp:rsid wsp:val=&quot;003B7BF9&quot;/&gt;&lt;wsp:rsid wsp:val=&quot;003C04F9&quot;/&gt;&lt;wsp:rsid wsp:val=&quot;003C1E97&quot;/&gt;&lt;wsp:rsid wsp:val=&quot;003C3033&quot;/&gt;&lt;wsp:rsid wsp:val=&quot;003C4584&quot;/&gt;&lt;wsp:rsid wsp:val=&quot;003C4EAC&quot;/&gt;&lt;wsp:rsid wsp:val=&quot;003C5C06&quot;/&gt;&lt;wsp:rsid wsp:val=&quot;003C6728&quot;/&gt;&lt;wsp:rsid wsp:val=&quot;003D194E&quot;/&gt;&lt;wsp:rsid wsp:val=&quot;003D33A8&quot;/&gt;&lt;wsp:rsid wsp:val=&quot;003D43C9&quot;/&gt;&lt;wsp:rsid wsp:val=&quot;003D4D92&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33B7&quot;/&gt;&lt;wsp:rsid wsp:val=&quot;003F39F6&quot;/&gt;&lt;wsp:rsid wsp:val=&quot;003F4797&quot;/&gt;&lt;wsp:rsid wsp:val=&quot;003F47B5&quot;/&gt;&lt;wsp:rsid wsp:val=&quot;003F7A24&quot;/&gt;&lt;wsp:rsid wsp:val=&quot;004003E8&quot;/&gt;&lt;wsp:rsid wsp:val=&quot;004019CB&quot;/&gt;&lt;wsp:rsid wsp:val=&quot;0040222B&quot;/&gt;&lt;wsp:rsid wsp:val=&quot;004022CC&quot;/&gt;&lt;wsp:rsid wsp:val=&quot;00402831&quot;/&gt;&lt;wsp:rsid wsp:val=&quot;00403018&quot;/&gt;&lt;wsp:rsid wsp:val=&quot;004032F1&quot;/&gt;&lt;wsp:rsid wsp:val=&quot;004035F6&quot;/&gt;&lt;wsp:rsid wsp:val=&quot;00403EDF&quot;/&gt;&lt;wsp:rsid wsp:val=&quot;00404DB1&quot;/&gt;&lt;wsp:rsid wsp:val=&quot;004109C3&quot;/&gt;&lt;wsp:rsid wsp:val=&quot;00412147&quot;/&gt;&lt;wsp:rsid wsp:val=&quot;00413C55&quot;/&gt;&lt;wsp:rsid wsp:val=&quot;00414181&quot;/&gt;&lt;wsp:rsid wsp:val=&quot;004159B2&quot;/&gt;&lt;wsp:rsid wsp:val=&quot;0041624E&quot;/&gt;&lt;wsp:rsid wsp:val=&quot;0041782C&quot;/&gt;&lt;wsp:rsid wsp:val=&quot;004200D8&quot;/&gt;&lt;wsp:rsid wsp:val=&quot;004206FA&quot;/&gt;&lt;wsp:rsid wsp:val=&quot;004213CE&quot;/&gt;&lt;wsp:rsid wsp:val=&quot;004223F1&quot;/&gt;&lt;wsp:rsid wsp:val=&quot;00424AFD&quot;/&gt;&lt;wsp:rsid wsp:val=&quot;00424C9C&quot;/&gt;&lt;wsp:rsid wsp:val=&quot;00430171&quot;/&gt;&lt;wsp:rsid wsp:val=&quot;00431123&quot;/&gt;&lt;wsp:rsid wsp:val=&quot;00431C26&quot;/&gt;&lt;wsp:rsid wsp:val=&quot;00431E83&quot;/&gt;&lt;wsp:rsid wsp:val=&quot;004329DE&quot;/&gt;&lt;wsp:rsid wsp:val=&quot;00432F62&quot;/&gt;&lt;wsp:rsid wsp:val=&quot;004345FD&quot;/&gt;&lt;wsp:rsid wsp:val=&quot;0043707E&quot;/&gt;&lt;wsp:rsid wsp:val=&quot;00437B5E&quot;/&gt;&lt;wsp:rsid wsp:val=&quot;0044004B&quot;/&gt;&lt;wsp:rsid wsp:val=&quot;0044021C&quot;/&gt;&lt;wsp:rsid wsp:val=&quot;00441B41&quot;/&gt;&lt;wsp:rsid wsp:val=&quot;00444E6F&quot;/&gt;&lt;wsp:rsid wsp:val=&quot;00444EC1&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895&quot;/&gt;&lt;wsp:rsid wsp:val=&quot;00471F19&quot;/&gt;&lt;wsp:rsid wsp:val=&quot;00473384&quot;/&gt;&lt;wsp:rsid wsp:val=&quot;00474298&quot;/&gt;&lt;wsp:rsid wsp:val=&quot;00474C18&quot;/&gt;&lt;wsp:rsid wsp:val=&quot;0048214B&quot;/&gt;&lt;wsp:rsid wsp:val=&quot;004826E7&quot;/&gt;&lt;wsp:rsid wsp:val=&quot;00485CEE&quot;/&gt;&lt;wsp:rsid wsp:val=&quot;004874D3&quot;/&gt;&lt;wsp:rsid wsp:val=&quot;004878E4&quot;/&gt;&lt;wsp:rsid wsp:val=&quot;0049013E&quot;/&gt;&lt;wsp:rsid wsp:val=&quot;004902E0&quot;/&gt;&lt;wsp:rsid wsp:val=&quot;00490947&quot;/&gt;&lt;wsp:rsid wsp:val=&quot;00490B8F&quot;/&gt;&lt;wsp:rsid wsp:val=&quot;004910AC&quot;/&gt;&lt;wsp:rsid wsp:val=&quot;00492B8D&quot;/&gt;&lt;wsp:rsid wsp:val=&quot;004945F3&quot;/&gt;&lt;wsp:rsid wsp:val=&quot;00494C99&quot;/&gt;&lt;wsp:rsid wsp:val=&quot;004952EA&quot;/&gt;&lt;wsp:rsid wsp:val=&quot;004A1B0B&quot;/&gt;&lt;wsp:rsid wsp:val=&quot;004A29F5&quot;/&gt;&lt;wsp:rsid wsp:val=&quot;004A2F9D&quot;/&gt;&lt;wsp:rsid wsp:val=&quot;004A4203&quot;/&gt;&lt;wsp:rsid wsp:val=&quot;004A4333&quot;/&gt;&lt;wsp:rsid wsp:val=&quot;004A5270&quot;/&gt;&lt;wsp:rsid wsp:val=&quot;004A6725&quot;/&gt;&lt;wsp:rsid wsp:val=&quot;004A6728&quot;/&gt;&lt;wsp:rsid wsp:val=&quot;004B0FC0&quot;/&gt;&lt;wsp:rsid wsp:val=&quot;004B1BEE&quot;/&gt;&lt;wsp:rsid wsp:val=&quot;004B2359&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2546&quot;/&gt;&lt;wsp:rsid wsp:val=&quot;004D2F5B&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E685E&quot;/&gt;&lt;wsp:rsid wsp:val=&quot;004F21E5&quot;/&gt;&lt;wsp:rsid wsp:val=&quot;004F2E30&quot;/&gt;&lt;wsp:rsid wsp:val=&quot;004F344E&quot;/&gt;&lt;wsp:rsid wsp:val=&quot;004F428C&quot;/&gt;&lt;wsp:rsid wsp:val=&quot;004F6828&quot;/&gt;&lt;wsp:rsid wsp:val=&quot;004F6879&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29FE&quot;/&gt;&lt;wsp:rsid wsp:val=&quot;00514701&quot;/&gt;&lt;wsp:rsid wsp:val=&quot;00514C06&quot;/&gt;&lt;wsp:rsid wsp:val=&quot;00515ADF&quot;/&gt;&lt;wsp:rsid wsp:val=&quot;00516B1D&quot;/&gt;&lt;wsp:rsid wsp:val=&quot;0052072B&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C4E&quot;/&gt;&lt;wsp:rsid wsp:val=&quot;00543EA0&quot;/&gt;&lt;wsp:rsid wsp:val=&quot;0054487A&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0B4F&quot;/&gt;&lt;wsp:rsid wsp:val=&quot;005634EC&quot;/&gt;&lt;wsp:rsid wsp:val=&quot;00563BDE&quot;/&gt;&lt;wsp:rsid wsp:val=&quot;005645C5&quot;/&gt;&lt;wsp:rsid wsp:val=&quot;0056693D&quot;/&gt;&lt;wsp:rsid wsp:val=&quot;0057032E&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465F&quot;/&gt;&lt;wsp:rsid wsp:val=&quot;005765F4&quot;/&gt;&lt;wsp:rsid wsp:val=&quot;005771D3&quot;/&gt;&lt;wsp:rsid wsp:val=&quot;0057754D&quot;/&gt;&lt;wsp:rsid wsp:val=&quot;00582CFF&quot;/&gt;&lt;wsp:rsid wsp:val=&quot;005849FF&quot;/&gt;&lt;wsp:rsid wsp:val=&quot;00585903&quot;/&gt;&lt;wsp:rsid wsp:val=&quot;00585CC3&quot;/&gt;&lt;wsp:rsid wsp:val=&quot;00587189&quot;/&gt;&lt;wsp:rsid wsp:val=&quot;00587DE1&quot;/&gt;&lt;wsp:rsid wsp:val=&quot;0059060C&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4B91&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07A65&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178C1&quot;/&gt;&lt;wsp:rsid wsp:val=&quot;00620ECF&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819&quot;/&gt;&lt;wsp:rsid wsp:val=&quot;006429EB&quot;/&gt;&lt;wsp:rsid wsp:val=&quot;006432CC&quot;/&gt;&lt;wsp:rsid wsp:val=&quot;006438C1&quot;/&gt;&lt;wsp:rsid wsp:val=&quot;00644560&quot;/&gt;&lt;wsp:rsid wsp:val=&quot;00645134&quot;/&gt;&lt;wsp:rsid wsp:val=&quot;00645247&quot;/&gt;&lt;wsp:rsid wsp:val=&quot;00645CFD&quot;/&gt;&lt;wsp:rsid wsp:val=&quot;00645E6A&quot;/&gt;&lt;wsp:rsid wsp:val=&quot;0065074B&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5342&quot;/&gt;&lt;wsp:rsid wsp:val=&quot;0067658D&quot;/&gt;&lt;wsp:rsid wsp:val=&quot;00677CF1&quot;/&gt;&lt;wsp:rsid wsp:val=&quot;00677E9F&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96847&quot;/&gt;&lt;wsp:rsid wsp:val=&quot;006A255C&quot;/&gt;&lt;wsp:rsid wsp:val=&quot;006A2899&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16AE&quot;/&gt;&lt;wsp:rsid wsp:val=&quot;006C274B&quot;/&gt;&lt;wsp:rsid wsp:val=&quot;006C3F49&quot;/&gt;&lt;wsp:rsid wsp:val=&quot;006C50EE&quot;/&gt;&lt;wsp:rsid wsp:val=&quot;006C6AE2&quot;/&gt;&lt;wsp:rsid wsp:val=&quot;006C7A4B&quot;/&gt;&lt;wsp:rsid wsp:val=&quot;006D130D&quot;/&gt;&lt;wsp:rsid wsp:val=&quot;006D20DA&quot;/&gt;&lt;wsp:rsid wsp:val=&quot;006D3165&quot;/&gt;&lt;wsp:rsid wsp:val=&quot;006D7A0E&quot;/&gt;&lt;wsp:rsid wsp:val=&quot;006E1596&quot;/&gt;&lt;wsp:rsid wsp:val=&quot;006E1FF3&quot;/&gt;&lt;wsp:rsid wsp:val=&quot;006E29B9&quot;/&gt;&lt;wsp:rsid wsp:val=&quot;006E407E&quot;/&gt;&lt;wsp:rsid wsp:val=&quot;006E5673&quot;/&gt;&lt;wsp:rsid wsp:val=&quot;006E66DD&quot;/&gt;&lt;wsp:rsid wsp:val=&quot;006F0FB8&quot;/&gt;&lt;wsp:rsid wsp:val=&quot;006F135C&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15F0C&quot;/&gt;&lt;wsp:rsid wsp:val=&quot;007203C8&quot;/&gt;&lt;wsp:rsid wsp:val=&quot;00720496&quot;/&gt;&lt;wsp:rsid wsp:val=&quot;00721545&quot;/&gt;&lt;wsp:rsid wsp:val=&quot;0072164E&quot;/&gt;&lt;wsp:rsid wsp:val=&quot;00721704&quot;/&gt;&lt;wsp:rsid wsp:val=&quot;00722A0A&quot;/&gt;&lt;wsp:rsid wsp:val=&quot;00722C89&quot;/&gt;&lt;wsp:rsid wsp:val=&quot;0072399E&quot;/&gt;&lt;wsp:rsid wsp:val=&quot;00724973&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1069&quot;/&gt;&lt;wsp:rsid wsp:val=&quot;007560EA&quot;/&gt;&lt;wsp:rsid wsp:val=&quot;00756874&quot;/&gt;&lt;wsp:rsid wsp:val=&quot;00757025&quot;/&gt;&lt;wsp:rsid wsp:val=&quot;0075736E&quot;/&gt;&lt;wsp:rsid wsp:val=&quot;00760E00&quot;/&gt;&lt;wsp:rsid wsp:val=&quot;00761570&quot;/&gt;&lt;wsp:rsid wsp:val=&quot;00762BCE&quot;/&gt;&lt;wsp:rsid wsp:val=&quot;00763C91&quot;/&gt;&lt;wsp:rsid wsp:val=&quot;00764B12&quot;/&gt;&lt;wsp:rsid wsp:val=&quot;0076799C&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371E&quot;/&gt;&lt;wsp:rsid wsp:val=&quot;00784592&quot;/&gt;&lt;wsp:rsid wsp:val=&quot;00784890&quot;/&gt;&lt;wsp:rsid wsp:val=&quot;00784BF2&quot;/&gt;&lt;wsp:rsid wsp:val=&quot;00785E7F&quot;/&gt;&lt;wsp:rsid wsp:val=&quot;007860DD&quot;/&gt;&lt;wsp:rsid wsp:val=&quot;0078634F&quot;/&gt;&lt;wsp:rsid wsp:val=&quot;007864FE&quot;/&gt;&lt;wsp:rsid wsp:val=&quot;00787317&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4543&quot;/&gt;&lt;wsp:rsid wsp:val=&quot;007D6E7F&quot;/&gt;&lt;wsp:rsid wsp:val=&quot;007E116C&quot;/&gt;&lt;wsp:rsid wsp:val=&quot;007E3014&quot;/&gt;&lt;wsp:rsid wsp:val=&quot;007E4353&quot;/&gt;&lt;wsp:rsid wsp:val=&quot;007E53F6&quot;/&gt;&lt;wsp:rsid wsp:val=&quot;007E5906&quot;/&gt;&lt;wsp:rsid wsp:val=&quot;007E5EE9&quot;/&gt;&lt;wsp:rsid wsp:val=&quot;007E7061&quot;/&gt;&lt;wsp:rsid wsp:val=&quot;007E79BE&quot;/&gt;&lt;wsp:rsid wsp:val=&quot;007E7FCB&quot;/&gt;&lt;wsp:rsid wsp:val=&quot;007F21CD&quot;/&gt;&lt;wsp:rsid wsp:val=&quot;007F2445&quot;/&gt;&lt;wsp:rsid wsp:val=&quot;007F316D&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1446D&quot;/&gt;&lt;wsp:rsid wsp:val=&quot;00814699&quot;/&gt;&lt;wsp:rsid wsp:val=&quot;00817743&quot;/&gt;&lt;wsp:rsid wsp:val=&quot;00821556&quot;/&gt;&lt;wsp:rsid wsp:val=&quot;00821F2C&quot;/&gt;&lt;wsp:rsid wsp:val=&quot;008220C7&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1E28&quot;/&gt;&lt;wsp:rsid wsp:val=&quot;00842BFB&quot;/&gt;&lt;wsp:rsid wsp:val=&quot;00847786&quot;/&gt;&lt;wsp:rsid wsp:val=&quot;0085048F&quot;/&gt;&lt;wsp:rsid wsp:val=&quot;00853901&quot;/&gt;&lt;wsp:rsid wsp:val=&quot;00853E28&quot;/&gt;&lt;wsp:rsid wsp:val=&quot;008543CB&quot;/&gt;&lt;wsp:rsid wsp:val=&quot;00854556&quot;/&gt;&lt;wsp:rsid wsp:val=&quot;00854AFF&quot;/&gt;&lt;wsp:rsid wsp:val=&quot;00855E7E&quot;/&gt;&lt;wsp:rsid wsp:val=&quot;0085677D&quot;/&gt;&lt;wsp:rsid wsp:val=&quot;008609BD&quot;/&gt;&lt;wsp:rsid wsp:val=&quot;0086247A&quot;/&gt;&lt;wsp:rsid wsp:val=&quot;008626F6&quot;/&gt;&lt;wsp:rsid wsp:val=&quot;00864E0E&quot;/&gt;&lt;wsp:rsid wsp:val=&quot;008677F8&quot;/&gt;&lt;wsp:rsid wsp:val=&quot;00867EC2&quot;/&gt;&lt;wsp:rsid wsp:val=&quot;00870E43&quot;/&gt;&lt;wsp:rsid wsp:val=&quot;008723F6&quot;/&gt;&lt;wsp:rsid wsp:val=&quot;0087282C&quot;/&gt;&lt;wsp:rsid wsp:val=&quot;00872B47&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1B8E&quot;/&gt;&lt;wsp:rsid wsp:val=&quot;00882022&quot;/&gt;&lt;wsp:rsid wsp:val=&quot;008844F1&quot;/&gt;&lt;wsp:rsid wsp:val=&quot;00884ADD&quot;/&gt;&lt;wsp:rsid wsp:val=&quot;0088611D&quot;/&gt;&lt;wsp:rsid wsp:val=&quot;00886256&quot;/&gt;&lt;wsp:rsid wsp:val=&quot;00890A01&quot;/&gt;&lt;wsp:rsid wsp:val=&quot;00891CC4&quot;/&gt;&lt;wsp:rsid wsp:val=&quot;00896910&quot;/&gt;&lt;wsp:rsid wsp:val=&quot;00896BCB&quot;/&gt;&lt;wsp:rsid wsp:val=&quot;0089715E&quot;/&gt;&lt;wsp:rsid wsp:val=&quot;00897954&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362C&quot;/&gt;&lt;wsp:rsid wsp:val=&quot;00904C0E&quot;/&gt;&lt;wsp:rsid wsp:val=&quot;0090517A&quot;/&gt;&lt;wsp:rsid wsp:val=&quot;0090650B&quot;/&gt;&lt;wsp:rsid wsp:val=&quot;009075A4&quot;/&gt;&lt;wsp:rsid wsp:val=&quot;00907C38&quot;/&gt;&lt;wsp:rsid wsp:val=&quot;00910330&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5F67&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5&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0BA&quot;/&gt;&lt;wsp:rsid wsp:val=&quot;00952BD8&quot;/&gt;&lt;wsp:rsid wsp:val=&quot;00953883&quot;/&gt;&lt;wsp:rsid wsp:val=&quot;00953FB6&quot;/&gt;&lt;wsp:rsid wsp:val=&quot;00954DFA&quot;/&gt;&lt;wsp:rsid wsp:val=&quot;00954ED7&quot;/&gt;&lt;wsp:rsid wsp:val=&quot;009559A2&quot;/&gt;&lt;wsp:rsid wsp:val=&quot;009571B9&quot;/&gt;&lt;wsp:rsid wsp:val=&quot;00957FBE&quot;/&gt;&lt;wsp:rsid wsp:val=&quot;00960060&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1E03&quot;/&gt;&lt;wsp:rsid wsp:val=&quot;00973F28&quot;/&gt;&lt;wsp:rsid wsp:val=&quot;00973FA2&quot;/&gt;&lt;wsp:rsid wsp:val=&quot;00974866&quot;/&gt;&lt;wsp:rsid wsp:val=&quot;009762CD&quot;/&gt;&lt;wsp:rsid wsp:val=&quot;00980491&quot;/&gt;&lt;wsp:rsid wsp:val=&quot;009808F5&quot;/&gt;&lt;wsp:rsid wsp:val=&quot;00981D9F&quot;/&gt;&lt;wsp:rsid wsp:val=&quot;00982DA0&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1F5E&quot;/&gt;&lt;wsp:rsid wsp:val=&quot;009D25E3&quot;/&gt;&lt;wsp:rsid wsp:val=&quot;009D49BC&quot;/&gt;&lt;wsp:rsid wsp:val=&quot;009D6963&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1151&quot;/&gt;&lt;wsp:rsid wsp:val=&quot;009F46E3&quot;/&gt;&lt;wsp:rsid wsp:val=&quot;009F4830&quot;/&gt;&lt;wsp:rsid wsp:val=&quot;009F69FB&quot;/&gt;&lt;wsp:rsid wsp:val=&quot;00A0110D&quot;/&gt;&lt;wsp:rsid wsp:val=&quot;00A04FA4&quot;/&gt;&lt;wsp:rsid wsp:val=&quot;00A07D2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2CC3&quot;/&gt;&lt;wsp:rsid wsp:val=&quot;00A63863&quot;/&gt;&lt;wsp:rsid wsp:val=&quot;00A64301&quot;/&gt;&lt;wsp:rsid wsp:val=&quot;00A667FD&quot;/&gt;&lt;wsp:rsid wsp:val=&quot;00A71167&quot;/&gt;&lt;wsp:rsid wsp:val=&quot;00A71D04&quot;/&gt;&lt;wsp:rsid wsp:val=&quot;00A72D98&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1ED3&quot;/&gt;&lt;wsp:rsid wsp:val=&quot;00A924D1&quot;/&gt;&lt;wsp:rsid wsp:val=&quot;00A95126&quot;/&gt;&lt;wsp:rsid wsp:val=&quot;00A9661B&quot;/&gt;&lt;wsp:rsid wsp:val=&quot;00AA09D7&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6A75&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1FD&quot;/&gt;&lt;wsp:rsid wsp:val=&quot;00B027F4&quot;/&gt;&lt;wsp:rsid wsp:val=&quot;00B02CFA&quot;/&gt;&lt;wsp:rsid wsp:val=&quot;00B04276&quot;/&gt;&lt;wsp:rsid wsp:val=&quot;00B042C3&quot;/&gt;&lt;wsp:rsid wsp:val=&quot;00B047FB&quot;/&gt;&lt;wsp:rsid wsp:val=&quot;00B057B7&quot;/&gt;&lt;wsp:rsid wsp:val=&quot;00B13627&quot;/&gt;&lt;wsp:rsid wsp:val=&quot;00B13801&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36AC4&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2BC&quot;/&gt;&lt;wsp:rsid wsp:val=&quot;00B51372&quot;/&gt;&lt;wsp:rsid wsp:val=&quot;00B51987&quot;/&gt;&lt;wsp:rsid wsp:val=&quot;00B519BD&quot;/&gt;&lt;wsp:rsid wsp:val=&quot;00B52708&quot;/&gt;&lt;wsp:rsid wsp:val=&quot;00B529BC&quot;/&gt;&lt;wsp:rsid wsp:val=&quot;00B52B32&quot;/&gt;&lt;wsp:rsid wsp:val=&quot;00B54F4D&quot;/&gt;&lt;wsp:rsid wsp:val=&quot;00B55528&quot;/&gt;&lt;wsp:rsid wsp:val=&quot;00B55621&quot;/&gt;&lt;wsp:rsid wsp:val=&quot;00B55DB1&quot;/&gt;&lt;wsp:rsid wsp:val=&quot;00B56F1C&quot;/&gt;&lt;wsp:rsid wsp:val=&quot;00B601DC&quot;/&gt;&lt;wsp:rsid wsp:val=&quot;00B616D7&quot;/&gt;&lt;wsp:rsid wsp:val=&quot;00B631FD&quot;/&gt;&lt;wsp:rsid wsp:val=&quot;00B63624&quot;/&gt;&lt;wsp:rsid wsp:val=&quot;00B639F2&quot;/&gt;&lt;wsp:rsid wsp:val=&quot;00B640E8&quot;/&gt;&lt;wsp:rsid wsp:val=&quot;00B65473&quot;/&gt;&lt;wsp:rsid wsp:val=&quot;00B66FDF&quot;/&gt;&lt;wsp:rsid wsp:val=&quot;00B70F7C&quot;/&gt;&lt;wsp:rsid wsp:val=&quot;00B7219D&quot;/&gt;&lt;wsp:rsid wsp:val=&quot;00B727C9&quot;/&gt;&lt;wsp:rsid wsp:val=&quot;00B74008&quot;/&gt;&lt;wsp:rsid wsp:val=&quot;00B747D3&quot;/&gt;&lt;wsp:rsid wsp:val=&quot;00B75DE1&quot;/&gt;&lt;wsp:rsid wsp:val=&quot;00B80F17&quot;/&gt;&lt;wsp:rsid wsp:val=&quot;00B86333&quot;/&gt;&lt;wsp:rsid wsp:val=&quot;00B906C7&quot;/&gt;&lt;wsp:rsid wsp:val=&quot;00B94A19&quot;/&gt;&lt;wsp:rsid wsp:val=&quot;00B964BE&quot;/&gt;&lt;wsp:rsid wsp:val=&quot;00B976A8&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41E0&quot;/&gt;&lt;wsp:rsid wsp:val=&quot;00BB52CF&quot;/&gt;&lt;wsp:rsid wsp:val=&quot;00BB5369&quot;/&gt;&lt;wsp:rsid wsp:val=&quot;00BB56DE&quot;/&gt;&lt;wsp:rsid wsp:val=&quot;00BC0B79&quot;/&gt;&lt;wsp:rsid wsp:val=&quot;00BC0C1F&quot;/&gt;&lt;wsp:rsid wsp:val=&quot;00BC2941&quot;/&gt;&lt;wsp:rsid wsp:val=&quot;00BC29C2&quot;/&gt;&lt;wsp:rsid wsp:val=&quot;00BC370E&quot;/&gt;&lt;wsp:rsid wsp:val=&quot;00BC3D43&quot;/&gt;&lt;wsp:rsid wsp:val=&quot;00BC7386&quot;/&gt;&lt;wsp:rsid wsp:val=&quot;00BC75B5&quot;/&gt;&lt;wsp:rsid wsp:val=&quot;00BD10D2&quot;/&gt;&lt;wsp:rsid wsp:val=&quot;00BD114B&quot;/&gt;&lt;wsp:rsid wsp:val=&quot;00BD4762&quot;/&gt;&lt;wsp:rsid wsp:val=&quot;00BD491D&quot;/&gt;&lt;wsp:rsid wsp:val=&quot;00BD4FA9&quot;/&gt;&lt;wsp:rsid wsp:val=&quot;00BD5E6D&quot;/&gt;&lt;wsp:rsid wsp:val=&quot;00BD604C&quot;/&gt;&lt;wsp:rsid wsp:val=&quot;00BE3B07&quot;/&gt;&lt;wsp:rsid wsp:val=&quot;00BE6024&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02E&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2F22&quot;/&gt;&lt;wsp:rsid wsp:val=&quot;00C26E62&quot;/&gt;&lt;wsp:rsid wsp:val=&quot;00C2739B&quot;/&gt;&lt;wsp:rsid wsp:val=&quot;00C30853&quot;/&gt;&lt;wsp:rsid wsp:val=&quot;00C31265&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8D3&quot;/&gt;&lt;wsp:rsid wsp:val=&quot;00C55F50&quot;/&gt;&lt;wsp:rsid wsp:val=&quot;00C569AB&quot;/&gt;&lt;wsp:rsid wsp:val=&quot;00C569CC&quot;/&gt;&lt;wsp:rsid wsp:val=&quot;00C57ACC&quot;/&gt;&lt;wsp:rsid wsp:val=&quot;00C62130&quot;/&gt;&lt;wsp:rsid wsp:val=&quot;00C6529A&quot;/&gt;&lt;wsp:rsid wsp:val=&quot;00C70079&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16CA&quot;/&gt;&lt;wsp:rsid wsp:val=&quot;00C84ACC&quot;/&gt;&lt;wsp:rsid wsp:val=&quot;00C84B47&quot;/&gt;&lt;wsp:rsid wsp:val=&quot;00C85321&quot;/&gt;&lt;wsp:rsid wsp:val=&quot;00C86B16&quot;/&gt;&lt;wsp:rsid wsp:val=&quot;00C878E9&quot;/&gt;&lt;wsp:rsid wsp:val=&quot;00C91D1C&quot;/&gt;&lt;wsp:rsid wsp:val=&quot;00C941C9&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D7CC4&quot;/&gt;&lt;wsp:rsid wsp:val=&quot;00CE2813&quot;/&gt;&lt;wsp:rsid wsp:val=&quot;00CE35EA&quot;/&gt;&lt;wsp:rsid wsp:val=&quot;00CE3D62&quot;/&gt;&lt;wsp:rsid wsp:val=&quot;00CE478C&quot;/&gt;&lt;wsp:rsid wsp:val=&quot;00CE7A56&quot;/&gt;&lt;wsp:rsid wsp:val=&quot;00CF0B03&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8B1&quot;/&gt;&lt;wsp:rsid wsp:val=&quot;00D16974&quot;/&gt;&lt;wsp:rsid wsp:val=&quot;00D20BAF&quot;/&gt;&lt;wsp:rsid wsp:val=&quot;00D20F88&quot;/&gt;&lt;wsp:rsid wsp:val=&quot;00D21238&quot;/&gt;&lt;wsp:rsid wsp:val=&quot;00D21BF2&quot;/&gt;&lt;wsp:rsid wsp:val=&quot;00D24512&quot;/&gt;&lt;wsp:rsid wsp:val=&quot;00D25D15&quot;/&gt;&lt;wsp:rsid wsp:val=&quot;00D26D98&quot;/&gt;&lt;wsp:rsid wsp:val=&quot;00D3374A&quot;/&gt;&lt;wsp:rsid wsp:val=&quot;00D34E06&quot;/&gt;&lt;wsp:rsid wsp:val=&quot;00D3600E&quot;/&gt;&lt;wsp:rsid wsp:val=&quot;00D4033B&quot;/&gt;&lt;wsp:rsid wsp:val=&quot;00D40A92&quot;/&gt;&lt;wsp:rsid wsp:val=&quot;00D4230C&quot;/&gt;&lt;wsp:rsid wsp:val=&quot;00D4263C&quot;/&gt;&lt;wsp:rsid wsp:val=&quot;00D43594&quot;/&gt;&lt;wsp:rsid wsp:val=&quot;00D43CBF&quot;/&gt;&lt;wsp:rsid wsp:val=&quot;00D44D53&quot;/&gt;&lt;wsp:rsid wsp:val=&quot;00D464A2&quot;/&gt;&lt;wsp:rsid wsp:val=&quot;00D506D0&quot;/&gt;&lt;wsp:rsid wsp:val=&quot;00D50E15&quot;/&gt;&lt;wsp:rsid wsp:val=&quot;00D51795&quot;/&gt;&lt;wsp:rsid wsp:val=&quot;00D52A83&quot;/&gt;&lt;wsp:rsid wsp:val=&quot;00D5616D&quot;/&gt;&lt;wsp:rsid wsp:val=&quot;00D5711F&quot;/&gt;&lt;wsp:rsid wsp:val=&quot;00D6167F&quot;/&gt;&lt;wsp:rsid wsp:val=&quot;00D616F1&quot;/&gt;&lt;wsp:rsid wsp:val=&quot;00D63474&quot;/&gt;&lt;wsp:rsid wsp:val=&quot;00D63714&quot;/&gt;&lt;wsp:rsid wsp:val=&quot;00D6383D&quot;/&gt;&lt;wsp:rsid wsp:val=&quot;00D63AFC&quot;/&gt;&lt;wsp:rsid wsp:val=&quot;00D64B68&quot;/&gt;&lt;wsp:rsid wsp:val=&quot;00D66373&quot;/&gt;&lt;wsp:rsid wsp:val=&quot;00D66C53&quot;/&gt;&lt;wsp:rsid wsp:val=&quot;00D6781B&quot;/&gt;&lt;wsp:rsid wsp:val=&quot;00D67BE8&quot;/&gt;&lt;wsp:rsid wsp:val=&quot;00D701C3&quot;/&gt;&lt;wsp:rsid wsp:val=&quot;00D72213&quot;/&gt;&lt;wsp:rsid wsp:val=&quot;00D76391&quot;/&gt;&lt;wsp:rsid wsp:val=&quot;00D76736&quot;/&gt;&lt;wsp:rsid wsp:val=&quot;00D81D6F&quot;/&gt;&lt;wsp:rsid wsp:val=&quot;00D8292D&quot;/&gt;&lt;wsp:rsid wsp:val=&quot;00D82F01&quot;/&gt;&lt;wsp:rsid wsp:val=&quot;00D82F8E&quot;/&gt;&lt;wsp:rsid wsp:val=&quot;00D85299&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686F&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03FD&quot;/&gt;&lt;wsp:rsid wsp:val=&quot;00DB156D&quot;/&gt;&lt;wsp:rsid wsp:val=&quot;00DB17FD&quot;/&gt;&lt;wsp:rsid wsp:val=&quot;00DB25C9&quot;/&gt;&lt;wsp:rsid wsp:val=&quot;00DB2887&quot;/&gt;&lt;wsp:rsid wsp:val=&quot;00DB3AC5&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0B43&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3C9&quot;/&gt;&lt;wsp:rsid wsp:val=&quot;00DE144D&quot;/&gt;&lt;wsp:rsid wsp:val=&quot;00DE15ED&quot;/&gt;&lt;wsp:rsid wsp:val=&quot;00DE1739&quot;/&gt;&lt;wsp:rsid wsp:val=&quot;00DE6C95&quot;/&gt;&lt;wsp:rsid wsp:val=&quot;00DF0111&quot;/&gt;&lt;wsp:rsid wsp:val=&quot;00DF5416&quot;/&gt;&lt;wsp:rsid wsp:val=&quot;00E00053&quot;/&gt;&lt;wsp:rsid wsp:val=&quot;00E00BB2&quot;/&gt;&lt;wsp:rsid wsp:val=&quot;00E021E5&quot;/&gt;&lt;wsp:rsid wsp:val=&quot;00E02359&quot;/&gt;&lt;wsp:rsid wsp:val=&quot;00E03022&quot;/&gt;&lt;wsp:rsid wsp:val=&quot;00E04707&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1FD9&quot;/&gt;&lt;wsp:rsid wsp:val=&quot;00E22104&quot;/&gt;&lt;wsp:rsid wsp:val=&quot;00E24A3F&quot;/&gt;&lt;wsp:rsid wsp:val=&quot;00E25D1D&quot;/&gt;&lt;wsp:rsid wsp:val=&quot;00E2627F&quot;/&gt;&lt;wsp:rsid wsp:val=&quot;00E26964&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483&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A5&quot;/&gt;&lt;wsp:rsid wsp:val=&quot;00E730D0&quot;/&gt;&lt;wsp:rsid wsp:val=&quot;00E74753&quot;/&gt;&lt;wsp:rsid wsp:val=&quot;00E7512C&quot;/&gt;&lt;wsp:rsid wsp:val=&quot;00E75737&quot;/&gt;&lt;wsp:rsid wsp:val=&quot;00E75E82&quot;/&gt;&lt;wsp:rsid wsp:val=&quot;00E7769E&quot;/&gt;&lt;wsp:rsid wsp:val=&quot;00E81458&quot;/&gt;&lt;wsp:rsid wsp:val=&quot;00E8276B&quot;/&gt;&lt;wsp:rsid wsp:val=&quot;00E828C3&quot;/&gt;&lt;wsp:rsid wsp:val=&quot;00E83543&quot;/&gt;&lt;wsp:rsid wsp:val=&quot;00E83CC5&quot;/&gt;&lt;wsp:rsid wsp:val=&quot;00E840A5&quot;/&gt;&lt;wsp:rsid wsp:val=&quot;00E85A53&quot;/&gt;&lt;wsp:rsid wsp:val=&quot;00E87AB9&quot;/&gt;&lt;wsp:rsid wsp:val=&quot;00E90CED&quot;/&gt;&lt;wsp:rsid wsp:val=&quot;00E91816&quot;/&gt;&lt;wsp:rsid wsp:val=&quot;00E94D93&quot;/&gt;&lt;wsp:rsid wsp:val=&quot;00E95A5C&quot;/&gt;&lt;wsp:rsid wsp:val=&quot;00E95F0A&quot;/&gt;&lt;wsp:rsid wsp:val=&quot;00E968DC&quot;/&gt;&lt;wsp:rsid wsp:val=&quot;00E97987&quot;/&gt;&lt;wsp:rsid wsp:val=&quot;00EA0D4F&quot;/&gt;&lt;wsp:rsid wsp:val=&quot;00EA1EF6&quot;/&gt;&lt;wsp:rsid wsp:val=&quot;00EA20AC&quot;/&gt;&lt;wsp:rsid wsp:val=&quot;00EA21B3&quot;/&gt;&lt;wsp:rsid wsp:val=&quot;00EA235C&quot;/&gt;&lt;wsp:rsid wsp:val=&quot;00EA3085&quot;/&gt;&lt;wsp:rsid wsp:val=&quot;00EA78CB&quot;/&gt;&lt;wsp:rsid wsp:val=&quot;00EA7990&quot;/&gt;&lt;wsp:rsid wsp:val=&quot;00EB0E0F&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B17&quot;/&gt;&lt;wsp:rsid wsp:val=&quot;00EE1DB6&quot;/&gt;&lt;wsp:rsid wsp:val=&quot;00EE5BF5&quot;/&gt;&lt;wsp:rsid wsp:val=&quot;00EE700F&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771&quot;/&gt;&lt;wsp:rsid wsp:val=&quot;00F00BDB&quot;/&gt;&lt;wsp:rsid wsp:val=&quot;00F053A6&quot;/&gt;&lt;wsp:rsid wsp:val=&quot;00F07602&quot;/&gt;&lt;wsp:rsid wsp:val=&quot;00F07B8D&quot;/&gt;&lt;wsp:rsid wsp:val=&quot;00F07D58&quot;/&gt;&lt;wsp:rsid wsp:val=&quot;00F1076C&quot;/&gt;&lt;wsp:rsid wsp:val=&quot;00F10F06&quot;/&gt;&lt;wsp:rsid wsp:val=&quot;00F1304F&quot;/&gt;&lt;wsp:rsid wsp:val=&quot;00F13A18&quot;/&gt;&lt;wsp:rsid wsp:val=&quot;00F1518F&quot;/&gt;&lt;wsp:rsid wsp:val=&quot;00F15389&quot;/&gt;&lt;wsp:rsid wsp:val=&quot;00F1599E&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286F&quot;/&gt;&lt;wsp:rsid wsp:val=&quot;00F33DA4&quot;/&gt;&lt;wsp:rsid wsp:val=&quot;00F353C6&quot;/&gt;&lt;wsp:rsid wsp:val=&quot;00F36949&quot;/&gt;&lt;wsp:rsid wsp:val=&quot;00F36C74&quot;/&gt;&lt;wsp:rsid wsp:val=&quot;00F37644&quot;/&gt;&lt;wsp:rsid wsp:val=&quot;00F44456&quot;/&gt;&lt;wsp:rsid wsp:val=&quot;00F44AAD&quot;/&gt;&lt;wsp:rsid wsp:val=&quot;00F44ADB&quot;/&gt;&lt;wsp:rsid wsp:val=&quot;00F45D8C&quot;/&gt;&lt;wsp:rsid wsp:val=&quot;00F460E7&quot;/&gt;&lt;wsp:rsid wsp:val=&quot;00F5134E&quot;/&gt;&lt;wsp:rsid wsp:val=&quot;00F52B54&quot;/&gt;&lt;wsp:rsid wsp:val=&quot;00F541CD&quot;/&gt;&lt;wsp:rsid wsp:val=&quot;00F609A6&quot;/&gt;&lt;wsp:rsid wsp:val=&quot;00F61405&quot;/&gt;&lt;wsp:rsid wsp:val=&quot;00F61573&quot;/&gt;&lt;wsp:rsid wsp:val=&quot;00F632C7&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4E42&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3D51&quot;/&gt;&lt;wsp:rsid wsp:val=&quot;00FA4646&quot;/&gt;&lt;wsp:rsid wsp:val=&quot;00FA6DD9&quot;/&gt;&lt;wsp:rsid wsp:val=&quot;00FA7C6E&quot;/&gt;&lt;wsp:rsid wsp:val=&quot;00FB02B8&quot;/&gt;&lt;wsp:rsid wsp:val=&quot;00FB0F0E&quot;/&gt;&lt;wsp:rsid wsp:val=&quot;00FB1E36&quot;/&gt;&lt;wsp:rsid wsp:val=&quot;00FB3721&quot;/&gt;&lt;wsp:rsid wsp:val=&quot;00FC0112&quot;/&gt;&lt;wsp:rsid wsp:val=&quot;00FC2435&quot;/&gt;&lt;wsp:rsid wsp:val=&quot;00FC2853&quot;/&gt;&lt;wsp:rsid wsp:val=&quot;00FC2A3B&quot;/&gt;&lt;wsp:rsid wsp:val=&quot;00FC56EC&quot;/&gt;&lt;wsp:rsid wsp:val=&quot;00FC5F97&quot;/&gt;&lt;wsp:rsid wsp:val=&quot;00FC5FCE&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 wsp:val=&quot;01913EE5&quot;/&gt;&lt;wsp:rsid wsp:val=&quot;028F592D&quot;/&gt;&lt;wsp:rsid wsp:val=&quot;03442226&quot;/&gt;&lt;wsp:rsid wsp:val=&quot;03653EFA&quot;/&gt;&lt;wsp:rsid wsp:val=&quot;041A1B6C&quot;/&gt;&lt;wsp:rsid wsp:val=&quot;05076F73&quot;/&gt;&lt;wsp:rsid wsp:val=&quot;069D413E&quot;/&gt;&lt;wsp:rsid wsp:val=&quot;0AED07E6&quot;/&gt;&lt;wsp:rsid wsp:val=&quot;0C5000D6&quot;/&gt;&lt;wsp:rsid wsp:val=&quot;0D5027DF&quot;/&gt;&lt;wsp:rsid wsp:val=&quot;0DAA3665&quot;/&gt;&lt;wsp:rsid wsp:val=&quot;0F522479&quot;/&gt;&lt;wsp:rsid wsp:val=&quot;0F964C30&quot;/&gt;&lt;wsp:rsid wsp:val=&quot;10954101&quot;/&gt;&lt;wsp:rsid wsp:val=&quot;129670E6&quot;/&gt;&lt;wsp:rsid wsp:val=&quot;13535C1D&quot;/&gt;&lt;wsp:rsid wsp:val=&quot;13B00235&quot;/&gt;&lt;wsp:rsid wsp:val=&quot;142D3110&quot;/&gt;&lt;wsp:rsid wsp:val=&quot;147D7105&quot;/&gt;&lt;wsp:rsid wsp:val=&quot;15505755&quot;/&gt;&lt;wsp:rsid wsp:val=&quot;162D6DFB&quot;/&gt;&lt;wsp:rsid wsp:val=&quot;16A6727C&quot;/&gt;&lt;wsp:rsid wsp:val=&quot;176F31FD&quot;/&gt;&lt;wsp:rsid wsp:val=&quot;1AE579CF&quot;/&gt;&lt;wsp:rsid wsp:val=&quot;1B7B1F7C&quot;/&gt;&lt;wsp:rsid wsp:val=&quot;1BDF4200&quot;/&gt;&lt;wsp:rsid wsp:val=&quot;1C461BF2&quot;/&gt;&lt;wsp:rsid wsp:val=&quot;1CBE498C&quot;/&gt;&lt;wsp:rsid wsp:val=&quot;1F633C25&quot;/&gt;&lt;wsp:rsid wsp:val=&quot;1FE525D4&quot;/&gt;&lt;wsp:rsid wsp:val=&quot;21962554&quot;/&gt;&lt;wsp:rsid wsp:val=&quot;21AB295D&quot;/&gt;&lt;wsp:rsid wsp:val=&quot;21E62F9A&quot;/&gt;&lt;wsp:rsid wsp:val=&quot;23FC2058&quot;/&gt;&lt;wsp:rsid wsp:val=&quot;24083460&quot;/&gt;&lt;wsp:rsid wsp:val=&quot;240C1A97&quot;/&gt;&lt;wsp:rsid wsp:val=&quot;24402A29&quot;/&gt;&lt;wsp:rsid wsp:val=&quot;24EF1192&quot;/&gt;&lt;wsp:rsid wsp:val=&quot;26B54D1B&quot;/&gt;&lt;wsp:rsid wsp:val=&quot;27504F53&quot;/&gt;&lt;wsp:rsid wsp:val=&quot;27EC0D41&quot;/&gt;&lt;wsp:rsid wsp:val=&quot;288C7A13&quot;/&gt;&lt;wsp:rsid wsp:val=&quot;29280A4A&quot;/&gt;&lt;wsp:rsid wsp:val=&quot;2A242902&quot;/&gt;&lt;wsp:rsid wsp:val=&quot;2B0F5A52&quot;/&gt;&lt;wsp:rsid wsp:val=&quot;2BA210C8&quot;/&gt;&lt;wsp:rsid wsp:val=&quot;2C322210&quot;/&gt;&lt;wsp:rsid wsp:val=&quot;2C880EAC&quot;/&gt;&lt;wsp:rsid wsp:val=&quot;2D0B45D8&quot;/&gt;&lt;wsp:rsid wsp:val=&quot;2D7A5F58&quot;/&gt;&lt;wsp:rsid wsp:val=&quot;2DE5090C&quot;/&gt;&lt;wsp:rsid wsp:val=&quot;2F245151&quot;/&gt;&lt;wsp:rsid wsp:val=&quot;2F9C50D7&quot;/&gt;&lt;wsp:rsid wsp:val=&quot;31CE7C91&quot;/&gt;&lt;wsp:rsid wsp:val=&quot;3337290D&quot;/&gt;&lt;wsp:rsid wsp:val=&quot;36284D13&quot;/&gt;&lt;wsp:rsid wsp:val=&quot;3894435E&quot;/&gt;&lt;wsp:rsid wsp:val=&quot;39093C9F&quot;/&gt;&lt;wsp:rsid wsp:val=&quot;3A3141FD&quot;/&gt;&lt;wsp:rsid wsp:val=&quot;3A4F2B98&quot;/&gt;&lt;wsp:rsid wsp:val=&quot;3ADB3587&quot;/&gt;&lt;wsp:rsid wsp:val=&quot;3B7A0243&quot;/&gt;&lt;wsp:rsid wsp:val=&quot;3D3B012F&quot;/&gt;&lt;wsp:rsid wsp:val=&quot;3F946430&quot;/&gt;&lt;wsp:rsid wsp:val=&quot;414D6E8F&quot;/&gt;&lt;wsp:rsid wsp:val=&quot;44C457EC&quot;/&gt;&lt;wsp:rsid wsp:val=&quot;453D5151&quot;/&gt;&lt;wsp:rsid wsp:val=&quot;46087ED9&quot;/&gt;&lt;wsp:rsid wsp:val=&quot;464F3E74&quot;/&gt;&lt;wsp:rsid wsp:val=&quot;47B7007B&quot;/&gt;&lt;wsp:rsid wsp:val=&quot;4AF34469&quot;/&gt;&lt;wsp:rsid wsp:val=&quot;4DC67269&quot;/&gt;&lt;wsp:rsid wsp:val=&quot;4EB12B06&quot;/&gt;&lt;wsp:rsid wsp:val=&quot;500669FA&quot;/&gt;&lt;wsp:rsid wsp:val=&quot;50780669&quot;/&gt;&lt;wsp:rsid wsp:val=&quot;510F2B1C&quot;/&gt;&lt;wsp:rsid wsp:val=&quot;531F30EF&quot;/&gt;&lt;wsp:rsid wsp:val=&quot;53FC68EC&quot;/&gt;&lt;wsp:rsid wsp:val=&quot;55C31C18&quot;/&gt;&lt;wsp:rsid wsp:val=&quot;563802EA&quot;/&gt;&lt;wsp:rsid wsp:val=&quot;56DC4230&quot;/&gt;&lt;wsp:rsid wsp:val=&quot;57504909&quot;/&gt;&lt;wsp:rsid wsp:val=&quot;583E2C99&quot;/&gt;&lt;wsp:rsid wsp:val=&quot;59801151&quot;/&gt;&lt;wsp:rsid wsp:val=&quot;5DF259C4&quot;/&gt;&lt;wsp:rsid wsp:val=&quot;60B62CF0&quot;/&gt;&lt;wsp:rsid wsp:val=&quot;64894531&quot;/&gt;&lt;wsp:rsid wsp:val=&quot;65185966&quot;/&gt;&lt;wsp:rsid wsp:val=&quot;651B6D5B&quot;/&gt;&lt;wsp:rsid wsp:val=&quot;655E3BFF&quot;/&gt;&lt;wsp:rsid wsp:val=&quot;65D861FB&quot;/&gt;&lt;wsp:rsid wsp:val=&quot;66874C3F&quot;/&gt;&lt;wsp:rsid wsp:val=&quot;66B83AD3&quot;/&gt;&lt;wsp:rsid wsp:val=&quot;67297020&quot;/&gt;&lt;wsp:rsid wsp:val=&quot;67C878B1&quot;/&gt;&lt;wsp:rsid wsp:val=&quot;68856D5A&quot;/&gt;&lt;wsp:rsid wsp:val=&quot;69E43F64&quot;/&gt;&lt;wsp:rsid wsp:val=&quot;6A4F07BF&quot;/&gt;&lt;wsp:rsid wsp:val=&quot;6AE00E93&quot;/&gt;&lt;wsp:rsid wsp:val=&quot;6B6272BA&quot;/&gt;&lt;wsp:rsid wsp:val=&quot;6D5814A1&quot;/&gt;&lt;wsp:rsid wsp:val=&quot;6EC31DA1&quot;/&gt;&lt;wsp:rsid wsp:val=&quot;6F0179C4&quot;/&gt;&lt;wsp:rsid wsp:val=&quot;71D35B1D&quot;/&gt;&lt;wsp:rsid wsp:val=&quot;73A2363E&quot;/&gt;&lt;wsp:rsid wsp:val=&quot;73BA76AB&quot;/&gt;&lt;wsp:rsid wsp:val=&quot;74864E1F&quot;/&gt;&lt;wsp:rsid wsp:val=&quot;75E507FE&quot;/&gt;&lt;wsp:rsid wsp:val=&quot;762A50E3&quot;/&gt;&lt;wsp:rsid wsp:val=&quot;76832D14&quot;/&gt;&lt;wsp:rsid wsp:val=&quot;770120C4&quot;/&gt;&lt;wsp:rsid wsp:val=&quot;792621D5&quot;/&gt;&lt;wsp:rsid wsp:val=&quot;79CF15E2&quot;/&gt;&lt;wsp:rsid wsp:val=&quot;7B1A1859&quot;/&gt;&lt;wsp:rsid wsp:val=&quot;7D934810&quot;/&gt;&lt;wsp:rsid wsp:val=&quot;7D98132E&quot;/&gt;&lt;wsp:rsid wsp:val=&quot;7DBB021F&quot;/&gt;&lt;wsp:rsid wsp:val=&quot;7E502455&quot;/&gt;&lt;wsp:rsid wsp:val=&quot;7E6B465F&quot;/&gt;&lt;wsp:rsid wsp:val=&quot;7FF4188E&quot;/&gt;&lt;/wsp:rsids&gt;&lt;/w:docPr&gt;&lt;w:body&gt;&lt;wx:sect&gt;&lt;w:p wsp:rsidR=&quot;00000000&quot; wsp:rsidRDefault=&quot;00CF0B03&quot; wsp:rsidP=&quot;00CF0B03&quot;&gt;&lt;m:oMathPara&gt;&lt;m:oMath&gt;&lt;m:r&gt;&lt;w:rPr&gt;&lt;w:rFonts w:ascii=&quot;Cambria Math&quot; w:h-ansi=&quot;Cambria Math&quot;/&gt;&lt;wx:font wx:val=&quot;Cambria Math&quot;/&gt;&lt;w:i/&gt;&lt;w:sz-cs w:val=&quot;20&quot;/&gt;&lt;w:lang w:fareast=&quot;KO&quot;/&gt;&lt;/w:rPr&gt;&lt;m:t&gt;m+3&lt;/m:t&gt;&lt;/m:r&gt;&lt;m:sSubSup&gt;&lt;m:sSubSupPr&gt;&lt;m:ctrlPr&gt;&lt;w:rPr&gt;&lt;w:rFonts w:ascii=&quot;Cambria Math&quot; w:h-ansi=&quot;Cambria Math&quot;/&gt;&lt;wx:font wx:val=&quot;Cambria Math&quot;/&gt;&lt;w:b-cs/&gt;&lt;w:i/&gt;&lt;w:sz-cs w:val=&quot;20&quot;/&gt;&lt;w:lang w:fareast=&quot;KO&quot;/&gt;&lt;/w:rPr&gt;&lt;/m:ctrlPr&gt;&lt;/m:sSubSupPr&gt;&lt;m:e&gt;&lt;m:r&gt;&lt;w:rPr&gt;&lt;w:rFonts w:ascii=&quot;Cambria Math&quot; w:h-ansi=&quot;Cambria Math&quot;/&gt;&lt;wx:font wx:val=&quot;Cambria Math&quot;/&gt;&lt;w:i/&gt;&lt;w:sz-cs w:val=&quot;20&quot;/&gt;&lt;w:lang w:fareast=&quot;KO&quot;/&gt;&lt;/w:rPr&gt;&lt;m:t&gt;N&lt;/m:t&gt;&lt;/m:r&gt;&lt;/m:e&gt;&lt;m:sub&gt;&lt;m:r&gt;&lt;m:rPr&gt;&lt;m:nor/&gt;&lt;/m:rPr&gt;&lt;w:rPr&gt;&lt;w:rFonts w:ascii=&quot;Times New Roman&quot; w:h-ansi=&quot;Times New Roman&quot;/&gt;&lt;wx:font wx:val=&quot;Times New Roman&quot;/&gt;&lt;w:b-cs/&gt;&lt;w:i/&gt;&lt;w:sz-cs w:val=&quot;20&quot;/&gt;&lt;w:lang w:fareast=&quot;KO&quot;/&gt;&lt;/w:rPr&gt;&lt;m:t&gt;slot&lt;/m:t&gt;&lt;/m:r&gt;&lt;/m:sub&gt;&lt;m:sup&gt;&lt;m:r&gt;&lt;m:rPr&gt;&lt;m:nor/&gt;&lt;/m:rPr&gt;&lt;w:rPr&gt;&lt;w:rFonts w:ascii=&quot;Times New Roman&quot; w:h-ansi=&quot;Times New Roman&quot;/&gt;&lt;wx:font wx:val=&quot;Times New Roman&quot;/&gt;&lt;w:b-cs/&gt;&lt;w:i/&gt;&lt;w:sz-cs w:val=&quot;20&quot;/&gt;&lt;w:lang w:fareast=&quot;KO&quot;/&gt;&lt;/w:rPr&gt;&lt;m:t&gt;subframe&lt;/m:t&gt;&lt;/m:r&gt;&lt;m:r&gt;&lt;w:rPr&gt;&lt;w:rFonts w:ascii=&quot;Cambria Math&quot; w:h-ansi=&quot;Cambria Math&quot;/&gt;&lt;wx:font wx:val=&quot;Cambria Math&quot;/&gt;&lt;w:i/&gt;&lt;w:sz-cs w:val=&quot;20&quot;/&gt;&lt;w:lang w:fareast=&quot;KO&quot;/&gt;&lt;/w:rPr&gt;&lt;m:t&gt;,μ&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Times New Roman" w:hAnsi="Times New Roman"/>
                <w:bCs/>
                <w:szCs w:val="20"/>
                <w:lang w:eastAsia="ko-KR"/>
              </w:rPr>
              <w:instrText xml:space="preserve"> </w:instrText>
            </w:r>
            <w:r>
              <w:rPr>
                <w:rFonts w:ascii="Times New Roman" w:hAnsi="Times New Roman"/>
                <w:bCs/>
                <w:szCs w:val="20"/>
                <w:lang w:eastAsia="ko-KR"/>
              </w:rPr>
              <w:fldChar w:fldCharType="separate"/>
            </w:r>
            <w:r>
              <w:rPr>
                <w:rFonts w:hint="eastAsia"/>
                <w:position w:val="-8"/>
              </w:rPr>
              <w:pict>
                <v:shape id="_x0000_i1026" o:spt="75" type="#_x0000_t75" style="height:15pt;width:6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defaultTabStop w:val=&quot;799&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27A5&quot;/&gt;&lt;wsp:rsid wsp:val=&quot;000049DC&quot;/&gt;&lt;wsp:rsid wsp:val=&quot;00006115&quot;/&gt;&lt;wsp:rsid wsp:val=&quot;00006E91&quot;/&gt;&lt;wsp:rsid wsp:val=&quot;00013C50&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5694&quot;/&gt;&lt;wsp:rsid wsp:val=&quot;0002646D&quot;/&gt;&lt;wsp:rsid wsp:val=&quot;0002658D&quot;/&gt;&lt;wsp:rsid wsp:val=&quot;00027418&quot;/&gt;&lt;wsp:rsid wsp:val=&quot;00027793&quot;/&gt;&lt;wsp:rsid wsp:val=&quot;00030286&quot;/&gt;&lt;wsp:rsid wsp:val=&quot;000321DC&quot;/&gt;&lt;wsp:rsid wsp:val=&quot;00032D66&quot;/&gt;&lt;wsp:rsid wsp:val=&quot;00034896&quot;/&gt;&lt;wsp:rsid wsp:val=&quot;00034D4D&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1EEE&quot;/&gt;&lt;wsp:rsid wsp:val=&quot;00063AE7&quot;/&gt;&lt;wsp:rsid wsp:val=&quot;00064CDB&quot;/&gt;&lt;wsp:rsid wsp:val=&quot;000666C0&quot;/&gt;&lt;wsp:rsid wsp:val=&quot;00070E52&quot;/&gt;&lt;wsp:rsid wsp:val=&quot;00073A64&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0F2&quot;/&gt;&lt;wsp:rsid wsp:val=&quot;000969AF&quot;/&gt;&lt;wsp:rsid wsp:val=&quot;000A0641&quot;/&gt;&lt;wsp:rsid wsp:val=&quot;000A3922&quot;/&gt;&lt;wsp:rsid wsp:val=&quot;000A57B3&quot;/&gt;&lt;wsp:rsid wsp:val=&quot;000A5EF6&quot;/&gt;&lt;wsp:rsid wsp:val=&quot;000B0DA5&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229&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0F0529&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411F&quot;/&gt;&lt;wsp:rsid wsp:val=&quot;001452E3&quot;/&gt;&lt;wsp:rsid wsp:val=&quot;00145E2B&quot;/&gt;&lt;wsp:rsid wsp:val=&quot;0014603D&quot;/&gt;&lt;wsp:rsid wsp:val=&quot;00146D61&quot;/&gt;&lt;wsp:rsid wsp:val=&quot;001474C4&quot;/&gt;&lt;wsp:rsid wsp:val=&quot;00150C17&quot;/&gt;&lt;wsp:rsid wsp:val=&quot;0015249E&quot;/&gt;&lt;wsp:rsid wsp:val=&quot;00154717&quot;/&gt;&lt;wsp:rsid wsp:val=&quot;00155082&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0489&quot;/&gt;&lt;wsp:rsid wsp:val=&quot;001804F1&quot;/&gt;&lt;wsp:rsid wsp:val=&quot;001810BD&quot;/&gt;&lt;wsp:rsid wsp:val=&quot;00181906&quot;/&gt;&lt;wsp:rsid wsp:val=&quot;00182437&quot;/&gt;&lt;wsp:rsid wsp:val=&quot;00182D68&quot;/&gt;&lt;wsp:rsid wsp:val=&quot;00184862&quot;/&gt;&lt;wsp:rsid wsp:val=&quot;00184D3E&quot;/&gt;&lt;wsp:rsid wsp:val=&quot;00185777&quot;/&gt;&lt;wsp:rsid wsp:val=&quot;00185CFE&quot;/&gt;&lt;wsp:rsid wsp:val=&quot;00186520&quot;/&gt;&lt;wsp:rsid wsp:val=&quot;00191AC9&quot;/&gt;&lt;wsp:rsid wsp:val=&quot;001941E6&quot;/&gt;&lt;wsp:rsid wsp:val=&quot;0019426E&quot;/&gt;&lt;wsp:rsid wsp:val=&quot;00195BCA&quot;/&gt;&lt;wsp:rsid wsp:val=&quot;00197AA5&quot;/&gt;&lt;wsp:rsid wsp:val=&quot;001A0414&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79F&quot;/&gt;&lt;wsp:rsid wsp:val=&quot;001C3FFD&quot;/&gt;&lt;wsp:rsid wsp:val=&quot;001C40D9&quot;/&gt;&lt;wsp:rsid wsp:val=&quot;001C5621&quot;/&gt;&lt;wsp:rsid wsp:val=&quot;001C74BE&quot;/&gt;&lt;wsp:rsid wsp:val=&quot;001C7C35&quot;/&gt;&lt;wsp:rsid wsp:val=&quot;001D0216&quot;/&gt;&lt;wsp:rsid wsp:val=&quot;001D04E7&quot;/&gt;&lt;wsp:rsid wsp:val=&quot;001D150F&quot;/&gt;&lt;wsp:rsid wsp:val=&quot;001D41B7&quot;/&gt;&lt;wsp:rsid wsp:val=&quot;001D52A5&quot;/&gt;&lt;wsp:rsid wsp:val=&quot;001D5746&quot;/&gt;&lt;wsp:rsid wsp:val=&quot;001D6962&quot;/&gt;&lt;wsp:rsid wsp:val=&quot;001D6F38&quot;/&gt;&lt;wsp:rsid wsp:val=&quot;001D7AE8&quot;/&gt;&lt;wsp:rsid wsp:val=&quot;001D7CDA&quot;/&gt;&lt;wsp:rsid wsp:val=&quot;001E3299&quot;/&gt;&lt;wsp:rsid wsp:val=&quot;001E41BC&quot;/&gt;&lt;wsp:rsid wsp:val=&quot;001E4536&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1F3928&quot;/&gt;&lt;wsp:rsid wsp:val=&quot;002004B2&quot;/&gt;&lt;wsp:rsid wsp:val=&quot;00202C71&quot;/&gt;&lt;wsp:rsid wsp:val=&quot;0020564C&quot;/&gt;&lt;wsp:rsid wsp:val=&quot;00206F84&quot;/&gt;&lt;wsp:rsid wsp:val=&quot;00210B7B&quot;/&gt;&lt;wsp:rsid wsp:val=&quot;00211448&quot;/&gt;&lt;wsp:rsid wsp:val=&quot;0021214B&quot;/&gt;&lt;wsp:rsid wsp:val=&quot;00213E6A&quot;/&gt;&lt;wsp:rsid wsp:val=&quot;00214F2A&quot;/&gt;&lt;wsp:rsid wsp:val=&quot;00216804&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0826&quot;/&gt;&lt;wsp:rsid wsp:val=&quot;0025116B&quot;/&gt;&lt;wsp:rsid wsp:val=&quot;00251A50&quot;/&gt;&lt;wsp:rsid wsp:val=&quot;002526D0&quot;/&gt;&lt;wsp:rsid wsp:val=&quot;0025466B&quot;/&gt;&lt;wsp:rsid wsp:val=&quot;00254FA9&quot;/&gt;&lt;wsp:rsid wsp:val=&quot;002556B6&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D9B&quot;/&gt;&lt;wsp:rsid wsp:val=&quot;00282E2C&quot;/&gt;&lt;wsp:rsid wsp:val=&quot;00282FD2&quot;/&gt;&lt;wsp:rsid wsp:val=&quot;00284207&quot;/&gt;&lt;wsp:rsid wsp:val=&quot;00285E3A&quot;/&gt;&lt;wsp:rsid wsp:val=&quot;00286532&quot;/&gt;&lt;wsp:rsid wsp:val=&quot;002912A8&quot;/&gt;&lt;wsp:rsid wsp:val=&quot;00293C36&quot;/&gt;&lt;wsp:rsid wsp:val=&quot;00293DB3&quot;/&gt;&lt;wsp:rsid wsp:val=&quot;0029433B&quot;/&gt;&lt;wsp:rsid wsp:val=&quot;00294EFB&quot;/&gt;&lt;wsp:rsid wsp:val=&quot;0029757E&quot;/&gt;&lt;wsp:rsid wsp:val=&quot;00297DD6&quot;/&gt;&lt;wsp:rsid wsp:val=&quot;00297DED&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6FA4&quot;/&gt;&lt;wsp:rsid wsp:val=&quot;002C7702&quot;/&gt;&lt;wsp:rsid wsp:val=&quot;002D0410&quot;/&gt;&lt;wsp:rsid wsp:val=&quot;002D1A27&quot;/&gt;&lt;wsp:rsid wsp:val=&quot;002D2CF7&quot;/&gt;&lt;wsp:rsid wsp:val=&quot;002D4D40&quot;/&gt;&lt;wsp:rsid wsp:val=&quot;002D5218&quot;/&gt;&lt;wsp:rsid wsp:val=&quot;002D6E7D&quot;/&gt;&lt;wsp:rsid wsp:val=&quot;002E1DF6&quot;/&gt;&lt;wsp:rsid wsp:val=&quot;002E687D&quot;/&gt;&lt;wsp:rsid wsp:val=&quot;002E74B5&quot;/&gt;&lt;wsp:rsid wsp:val=&quot;002F0759&quot;/&gt;&lt;wsp:rsid wsp:val=&quot;002F10CA&quot;/&gt;&lt;wsp:rsid wsp:val=&quot;002F1E2B&quot;/&gt;&lt;wsp:rsid wsp:val=&quot;002F2880&quot;/&gt;&lt;wsp:rsid wsp:val=&quot;002F4411&quot;/&gt;&lt;wsp:rsid wsp:val=&quot;002F5259&quot;/&gt;&lt;wsp:rsid wsp:val=&quot;002F57D7&quot;/&gt;&lt;wsp:rsid wsp:val=&quot;002F64B1&quot;/&gt;&lt;wsp:rsid wsp:val=&quot;002F7271&quot;/&gt;&lt;wsp:rsid wsp:val=&quot;002F739A&quot;/&gt;&lt;wsp:rsid wsp:val=&quot;00302398&quot;/&gt;&lt;wsp:rsid wsp:val=&quot;00304116&quot;/&gt;&lt;wsp:rsid wsp:val=&quot;003043B3&quot;/&gt;&lt;wsp:rsid wsp:val=&quot;0030490C&quot;/&gt;&lt;wsp:rsid wsp:val=&quot;0030546D&quot;/&gt;&lt;wsp:rsid wsp:val=&quot;0031112E&quot;/&gt;&lt;wsp:rsid wsp:val=&quot;00312317&quot;/&gt;&lt;wsp:rsid wsp:val=&quot;00313594&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2362&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434D&quot;/&gt;&lt;wsp:rsid wsp:val=&quot;00374380&quot;/&gt;&lt;wsp:rsid wsp:val=&quot;00374F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3028&quot;/&gt;&lt;wsp:rsid wsp:val=&quot;00394116&quot;/&gt;&lt;wsp:rsid wsp:val=&quot;00394AC8&quot;/&gt;&lt;wsp:rsid wsp:val=&quot;003957ED&quot;/&gt;&lt;wsp:rsid wsp:val=&quot;00397A6D&quot;/&gt;&lt;wsp:rsid wsp:val=&quot;003A135F&quot;/&gt;&lt;wsp:rsid wsp:val=&quot;003A4382&quot;/&gt;&lt;wsp:rsid wsp:val=&quot;003A4607&quot;/&gt;&lt;wsp:rsid wsp:val=&quot;003A72FB&quot;/&gt;&lt;wsp:rsid wsp:val=&quot;003A7CEB&quot;/&gt;&lt;wsp:rsid wsp:val=&quot;003B0BF8&quot;/&gt;&lt;wsp:rsid wsp:val=&quot;003B2B12&quot;/&gt;&lt;wsp:rsid wsp:val=&quot;003B30EF&quot;/&gt;&lt;wsp:rsid wsp:val=&quot;003B3DC0&quot;/&gt;&lt;wsp:rsid wsp:val=&quot;003B6548&quot;/&gt;&lt;wsp:rsid wsp:val=&quot;003B7BF9&quot;/&gt;&lt;wsp:rsid wsp:val=&quot;003C04F9&quot;/&gt;&lt;wsp:rsid wsp:val=&quot;003C1E97&quot;/&gt;&lt;wsp:rsid wsp:val=&quot;003C3033&quot;/&gt;&lt;wsp:rsid wsp:val=&quot;003C4584&quot;/&gt;&lt;wsp:rsid wsp:val=&quot;003C4EAC&quot;/&gt;&lt;wsp:rsid wsp:val=&quot;003C5C06&quot;/&gt;&lt;wsp:rsid wsp:val=&quot;003C6728&quot;/&gt;&lt;wsp:rsid wsp:val=&quot;003D194E&quot;/&gt;&lt;wsp:rsid wsp:val=&quot;003D33A8&quot;/&gt;&lt;wsp:rsid wsp:val=&quot;003D43C9&quot;/&gt;&lt;wsp:rsid wsp:val=&quot;003D4D92&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33B7&quot;/&gt;&lt;wsp:rsid wsp:val=&quot;003F39F6&quot;/&gt;&lt;wsp:rsid wsp:val=&quot;003F4797&quot;/&gt;&lt;wsp:rsid wsp:val=&quot;003F47B5&quot;/&gt;&lt;wsp:rsid wsp:val=&quot;003F7A24&quot;/&gt;&lt;wsp:rsid wsp:val=&quot;004003E8&quot;/&gt;&lt;wsp:rsid wsp:val=&quot;004019CB&quot;/&gt;&lt;wsp:rsid wsp:val=&quot;0040222B&quot;/&gt;&lt;wsp:rsid wsp:val=&quot;004022CC&quot;/&gt;&lt;wsp:rsid wsp:val=&quot;00402831&quot;/&gt;&lt;wsp:rsid wsp:val=&quot;00403018&quot;/&gt;&lt;wsp:rsid wsp:val=&quot;004032F1&quot;/&gt;&lt;wsp:rsid wsp:val=&quot;004035F6&quot;/&gt;&lt;wsp:rsid wsp:val=&quot;00403EDF&quot;/&gt;&lt;wsp:rsid wsp:val=&quot;00404DB1&quot;/&gt;&lt;wsp:rsid wsp:val=&quot;004109C3&quot;/&gt;&lt;wsp:rsid wsp:val=&quot;00412147&quot;/&gt;&lt;wsp:rsid wsp:val=&quot;00413C55&quot;/&gt;&lt;wsp:rsid wsp:val=&quot;00414181&quot;/&gt;&lt;wsp:rsid wsp:val=&quot;004159B2&quot;/&gt;&lt;wsp:rsid wsp:val=&quot;0041624E&quot;/&gt;&lt;wsp:rsid wsp:val=&quot;0041782C&quot;/&gt;&lt;wsp:rsid wsp:val=&quot;004200D8&quot;/&gt;&lt;wsp:rsid wsp:val=&quot;004206FA&quot;/&gt;&lt;wsp:rsid wsp:val=&quot;004213CE&quot;/&gt;&lt;wsp:rsid wsp:val=&quot;004223F1&quot;/&gt;&lt;wsp:rsid wsp:val=&quot;00424AFD&quot;/&gt;&lt;wsp:rsid wsp:val=&quot;00424C9C&quot;/&gt;&lt;wsp:rsid wsp:val=&quot;00430171&quot;/&gt;&lt;wsp:rsid wsp:val=&quot;00431123&quot;/&gt;&lt;wsp:rsid wsp:val=&quot;00431C26&quot;/&gt;&lt;wsp:rsid wsp:val=&quot;00431E83&quot;/&gt;&lt;wsp:rsid wsp:val=&quot;004329DE&quot;/&gt;&lt;wsp:rsid wsp:val=&quot;00432F62&quot;/&gt;&lt;wsp:rsid wsp:val=&quot;004345FD&quot;/&gt;&lt;wsp:rsid wsp:val=&quot;0043707E&quot;/&gt;&lt;wsp:rsid wsp:val=&quot;00437B5E&quot;/&gt;&lt;wsp:rsid wsp:val=&quot;0044004B&quot;/&gt;&lt;wsp:rsid wsp:val=&quot;0044021C&quot;/&gt;&lt;wsp:rsid wsp:val=&quot;00441B41&quot;/&gt;&lt;wsp:rsid wsp:val=&quot;00444E6F&quot;/&gt;&lt;wsp:rsid wsp:val=&quot;00444EC1&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895&quot;/&gt;&lt;wsp:rsid wsp:val=&quot;00471F19&quot;/&gt;&lt;wsp:rsid wsp:val=&quot;00473384&quot;/&gt;&lt;wsp:rsid wsp:val=&quot;00474298&quot;/&gt;&lt;wsp:rsid wsp:val=&quot;00474C18&quot;/&gt;&lt;wsp:rsid wsp:val=&quot;0048214B&quot;/&gt;&lt;wsp:rsid wsp:val=&quot;004826E7&quot;/&gt;&lt;wsp:rsid wsp:val=&quot;00485CEE&quot;/&gt;&lt;wsp:rsid wsp:val=&quot;004874D3&quot;/&gt;&lt;wsp:rsid wsp:val=&quot;004878E4&quot;/&gt;&lt;wsp:rsid wsp:val=&quot;0049013E&quot;/&gt;&lt;wsp:rsid wsp:val=&quot;004902E0&quot;/&gt;&lt;wsp:rsid wsp:val=&quot;00490947&quot;/&gt;&lt;wsp:rsid wsp:val=&quot;00490B8F&quot;/&gt;&lt;wsp:rsid wsp:val=&quot;004910AC&quot;/&gt;&lt;wsp:rsid wsp:val=&quot;00492B8D&quot;/&gt;&lt;wsp:rsid wsp:val=&quot;004945F3&quot;/&gt;&lt;wsp:rsid wsp:val=&quot;00494C99&quot;/&gt;&lt;wsp:rsid wsp:val=&quot;004952EA&quot;/&gt;&lt;wsp:rsid wsp:val=&quot;004A1B0B&quot;/&gt;&lt;wsp:rsid wsp:val=&quot;004A29F5&quot;/&gt;&lt;wsp:rsid wsp:val=&quot;004A2F9D&quot;/&gt;&lt;wsp:rsid wsp:val=&quot;004A4203&quot;/&gt;&lt;wsp:rsid wsp:val=&quot;004A4333&quot;/&gt;&lt;wsp:rsid wsp:val=&quot;004A5270&quot;/&gt;&lt;wsp:rsid wsp:val=&quot;004A6725&quot;/&gt;&lt;wsp:rsid wsp:val=&quot;004A6728&quot;/&gt;&lt;wsp:rsid wsp:val=&quot;004B0FC0&quot;/&gt;&lt;wsp:rsid wsp:val=&quot;004B1BEE&quot;/&gt;&lt;wsp:rsid wsp:val=&quot;004B2359&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2546&quot;/&gt;&lt;wsp:rsid wsp:val=&quot;004D2F5B&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E685E&quot;/&gt;&lt;wsp:rsid wsp:val=&quot;004F21E5&quot;/&gt;&lt;wsp:rsid wsp:val=&quot;004F2E30&quot;/&gt;&lt;wsp:rsid wsp:val=&quot;004F344E&quot;/&gt;&lt;wsp:rsid wsp:val=&quot;004F428C&quot;/&gt;&lt;wsp:rsid wsp:val=&quot;004F6828&quot;/&gt;&lt;wsp:rsid wsp:val=&quot;004F6879&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29FE&quot;/&gt;&lt;wsp:rsid wsp:val=&quot;00514701&quot;/&gt;&lt;wsp:rsid wsp:val=&quot;00514C06&quot;/&gt;&lt;wsp:rsid wsp:val=&quot;00515ADF&quot;/&gt;&lt;wsp:rsid wsp:val=&quot;00516B1D&quot;/&gt;&lt;wsp:rsid wsp:val=&quot;0052072B&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C4E&quot;/&gt;&lt;wsp:rsid wsp:val=&quot;00543EA0&quot;/&gt;&lt;wsp:rsid wsp:val=&quot;0054487A&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0B4F&quot;/&gt;&lt;wsp:rsid wsp:val=&quot;005634EC&quot;/&gt;&lt;wsp:rsid wsp:val=&quot;00563BDE&quot;/&gt;&lt;wsp:rsid wsp:val=&quot;005645C5&quot;/&gt;&lt;wsp:rsid wsp:val=&quot;0056693D&quot;/&gt;&lt;wsp:rsid wsp:val=&quot;0057032E&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465F&quot;/&gt;&lt;wsp:rsid wsp:val=&quot;005765F4&quot;/&gt;&lt;wsp:rsid wsp:val=&quot;005771D3&quot;/&gt;&lt;wsp:rsid wsp:val=&quot;0057754D&quot;/&gt;&lt;wsp:rsid wsp:val=&quot;00582CFF&quot;/&gt;&lt;wsp:rsid wsp:val=&quot;005849FF&quot;/&gt;&lt;wsp:rsid wsp:val=&quot;00585903&quot;/&gt;&lt;wsp:rsid wsp:val=&quot;00585CC3&quot;/&gt;&lt;wsp:rsid wsp:val=&quot;00587189&quot;/&gt;&lt;wsp:rsid wsp:val=&quot;00587DE1&quot;/&gt;&lt;wsp:rsid wsp:val=&quot;0059060C&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4B91&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07A65&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178C1&quot;/&gt;&lt;wsp:rsid wsp:val=&quot;00620ECF&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819&quot;/&gt;&lt;wsp:rsid wsp:val=&quot;006429EB&quot;/&gt;&lt;wsp:rsid wsp:val=&quot;006432CC&quot;/&gt;&lt;wsp:rsid wsp:val=&quot;006438C1&quot;/&gt;&lt;wsp:rsid wsp:val=&quot;00644560&quot;/&gt;&lt;wsp:rsid wsp:val=&quot;00645134&quot;/&gt;&lt;wsp:rsid wsp:val=&quot;00645247&quot;/&gt;&lt;wsp:rsid wsp:val=&quot;00645CFD&quot;/&gt;&lt;wsp:rsid wsp:val=&quot;00645E6A&quot;/&gt;&lt;wsp:rsid wsp:val=&quot;0065074B&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5342&quot;/&gt;&lt;wsp:rsid wsp:val=&quot;0067658D&quot;/&gt;&lt;wsp:rsid wsp:val=&quot;00677CF1&quot;/&gt;&lt;wsp:rsid wsp:val=&quot;00677E9F&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96847&quot;/&gt;&lt;wsp:rsid wsp:val=&quot;006A255C&quot;/&gt;&lt;wsp:rsid wsp:val=&quot;006A2899&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16AE&quot;/&gt;&lt;wsp:rsid wsp:val=&quot;006C274B&quot;/&gt;&lt;wsp:rsid wsp:val=&quot;006C3F49&quot;/&gt;&lt;wsp:rsid wsp:val=&quot;006C50EE&quot;/&gt;&lt;wsp:rsid wsp:val=&quot;006C6AE2&quot;/&gt;&lt;wsp:rsid wsp:val=&quot;006C7A4B&quot;/&gt;&lt;wsp:rsid wsp:val=&quot;006D130D&quot;/&gt;&lt;wsp:rsid wsp:val=&quot;006D20DA&quot;/&gt;&lt;wsp:rsid wsp:val=&quot;006D3165&quot;/&gt;&lt;wsp:rsid wsp:val=&quot;006D7A0E&quot;/&gt;&lt;wsp:rsid wsp:val=&quot;006E1596&quot;/&gt;&lt;wsp:rsid wsp:val=&quot;006E1FF3&quot;/&gt;&lt;wsp:rsid wsp:val=&quot;006E29B9&quot;/&gt;&lt;wsp:rsid wsp:val=&quot;006E407E&quot;/&gt;&lt;wsp:rsid wsp:val=&quot;006E5673&quot;/&gt;&lt;wsp:rsid wsp:val=&quot;006E66DD&quot;/&gt;&lt;wsp:rsid wsp:val=&quot;006F0FB8&quot;/&gt;&lt;wsp:rsid wsp:val=&quot;006F135C&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15F0C&quot;/&gt;&lt;wsp:rsid wsp:val=&quot;007203C8&quot;/&gt;&lt;wsp:rsid wsp:val=&quot;00720496&quot;/&gt;&lt;wsp:rsid wsp:val=&quot;00721545&quot;/&gt;&lt;wsp:rsid wsp:val=&quot;0072164E&quot;/&gt;&lt;wsp:rsid wsp:val=&quot;00721704&quot;/&gt;&lt;wsp:rsid wsp:val=&quot;00722A0A&quot;/&gt;&lt;wsp:rsid wsp:val=&quot;00722C89&quot;/&gt;&lt;wsp:rsid wsp:val=&quot;0072399E&quot;/&gt;&lt;wsp:rsid wsp:val=&quot;00724973&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1069&quot;/&gt;&lt;wsp:rsid wsp:val=&quot;007560EA&quot;/&gt;&lt;wsp:rsid wsp:val=&quot;00756874&quot;/&gt;&lt;wsp:rsid wsp:val=&quot;00757025&quot;/&gt;&lt;wsp:rsid wsp:val=&quot;0075736E&quot;/&gt;&lt;wsp:rsid wsp:val=&quot;00760E00&quot;/&gt;&lt;wsp:rsid wsp:val=&quot;00761570&quot;/&gt;&lt;wsp:rsid wsp:val=&quot;00762BCE&quot;/&gt;&lt;wsp:rsid wsp:val=&quot;00763C91&quot;/&gt;&lt;wsp:rsid wsp:val=&quot;00764B12&quot;/&gt;&lt;wsp:rsid wsp:val=&quot;0076799C&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371E&quot;/&gt;&lt;wsp:rsid wsp:val=&quot;00784592&quot;/&gt;&lt;wsp:rsid wsp:val=&quot;00784890&quot;/&gt;&lt;wsp:rsid wsp:val=&quot;00784BF2&quot;/&gt;&lt;wsp:rsid wsp:val=&quot;00785E7F&quot;/&gt;&lt;wsp:rsid wsp:val=&quot;007860DD&quot;/&gt;&lt;wsp:rsid wsp:val=&quot;0078634F&quot;/&gt;&lt;wsp:rsid wsp:val=&quot;007864FE&quot;/&gt;&lt;wsp:rsid wsp:val=&quot;00787317&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4543&quot;/&gt;&lt;wsp:rsid wsp:val=&quot;007D6E7F&quot;/&gt;&lt;wsp:rsid wsp:val=&quot;007E116C&quot;/&gt;&lt;wsp:rsid wsp:val=&quot;007E3014&quot;/&gt;&lt;wsp:rsid wsp:val=&quot;007E4353&quot;/&gt;&lt;wsp:rsid wsp:val=&quot;007E53F6&quot;/&gt;&lt;wsp:rsid wsp:val=&quot;007E5906&quot;/&gt;&lt;wsp:rsid wsp:val=&quot;007E5EE9&quot;/&gt;&lt;wsp:rsid wsp:val=&quot;007E7061&quot;/&gt;&lt;wsp:rsid wsp:val=&quot;007E79BE&quot;/&gt;&lt;wsp:rsid wsp:val=&quot;007E7FCB&quot;/&gt;&lt;wsp:rsid wsp:val=&quot;007F21CD&quot;/&gt;&lt;wsp:rsid wsp:val=&quot;007F2445&quot;/&gt;&lt;wsp:rsid wsp:val=&quot;007F316D&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1446D&quot;/&gt;&lt;wsp:rsid wsp:val=&quot;00814699&quot;/&gt;&lt;wsp:rsid wsp:val=&quot;00817743&quot;/&gt;&lt;wsp:rsid wsp:val=&quot;00821556&quot;/&gt;&lt;wsp:rsid wsp:val=&quot;00821F2C&quot;/&gt;&lt;wsp:rsid wsp:val=&quot;008220C7&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1E28&quot;/&gt;&lt;wsp:rsid wsp:val=&quot;00842BFB&quot;/&gt;&lt;wsp:rsid wsp:val=&quot;00847786&quot;/&gt;&lt;wsp:rsid wsp:val=&quot;0085048F&quot;/&gt;&lt;wsp:rsid wsp:val=&quot;00853901&quot;/&gt;&lt;wsp:rsid wsp:val=&quot;00853E28&quot;/&gt;&lt;wsp:rsid wsp:val=&quot;008543CB&quot;/&gt;&lt;wsp:rsid wsp:val=&quot;00854556&quot;/&gt;&lt;wsp:rsid wsp:val=&quot;00854AFF&quot;/&gt;&lt;wsp:rsid wsp:val=&quot;00855E7E&quot;/&gt;&lt;wsp:rsid wsp:val=&quot;0085677D&quot;/&gt;&lt;wsp:rsid wsp:val=&quot;008609BD&quot;/&gt;&lt;wsp:rsid wsp:val=&quot;0086247A&quot;/&gt;&lt;wsp:rsid wsp:val=&quot;008626F6&quot;/&gt;&lt;wsp:rsid wsp:val=&quot;00864E0E&quot;/&gt;&lt;wsp:rsid wsp:val=&quot;008677F8&quot;/&gt;&lt;wsp:rsid wsp:val=&quot;00867EC2&quot;/&gt;&lt;wsp:rsid wsp:val=&quot;00870E43&quot;/&gt;&lt;wsp:rsid wsp:val=&quot;008723F6&quot;/&gt;&lt;wsp:rsid wsp:val=&quot;0087282C&quot;/&gt;&lt;wsp:rsid wsp:val=&quot;00872B47&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1B8E&quot;/&gt;&lt;wsp:rsid wsp:val=&quot;00882022&quot;/&gt;&lt;wsp:rsid wsp:val=&quot;008844F1&quot;/&gt;&lt;wsp:rsid wsp:val=&quot;00884ADD&quot;/&gt;&lt;wsp:rsid wsp:val=&quot;0088611D&quot;/&gt;&lt;wsp:rsid wsp:val=&quot;00886256&quot;/&gt;&lt;wsp:rsid wsp:val=&quot;00890A01&quot;/&gt;&lt;wsp:rsid wsp:val=&quot;00891CC4&quot;/&gt;&lt;wsp:rsid wsp:val=&quot;00896910&quot;/&gt;&lt;wsp:rsid wsp:val=&quot;00896BCB&quot;/&gt;&lt;wsp:rsid wsp:val=&quot;0089715E&quot;/&gt;&lt;wsp:rsid wsp:val=&quot;00897954&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362C&quot;/&gt;&lt;wsp:rsid wsp:val=&quot;00904C0E&quot;/&gt;&lt;wsp:rsid wsp:val=&quot;0090517A&quot;/&gt;&lt;wsp:rsid wsp:val=&quot;0090650B&quot;/&gt;&lt;wsp:rsid wsp:val=&quot;009075A4&quot;/&gt;&lt;wsp:rsid wsp:val=&quot;00907C38&quot;/&gt;&lt;wsp:rsid wsp:val=&quot;00910330&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5F67&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5&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0BA&quot;/&gt;&lt;wsp:rsid wsp:val=&quot;00952BD8&quot;/&gt;&lt;wsp:rsid wsp:val=&quot;00953883&quot;/&gt;&lt;wsp:rsid wsp:val=&quot;00953FB6&quot;/&gt;&lt;wsp:rsid wsp:val=&quot;00954DFA&quot;/&gt;&lt;wsp:rsid wsp:val=&quot;00954ED7&quot;/&gt;&lt;wsp:rsid wsp:val=&quot;009559A2&quot;/&gt;&lt;wsp:rsid wsp:val=&quot;009571B9&quot;/&gt;&lt;wsp:rsid wsp:val=&quot;00957FBE&quot;/&gt;&lt;wsp:rsid wsp:val=&quot;00960060&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1E03&quot;/&gt;&lt;wsp:rsid wsp:val=&quot;00973F28&quot;/&gt;&lt;wsp:rsid wsp:val=&quot;00973FA2&quot;/&gt;&lt;wsp:rsid wsp:val=&quot;00974866&quot;/&gt;&lt;wsp:rsid wsp:val=&quot;009762CD&quot;/&gt;&lt;wsp:rsid wsp:val=&quot;00980491&quot;/&gt;&lt;wsp:rsid wsp:val=&quot;009808F5&quot;/&gt;&lt;wsp:rsid wsp:val=&quot;00981D9F&quot;/&gt;&lt;wsp:rsid wsp:val=&quot;00982DA0&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1F5E&quot;/&gt;&lt;wsp:rsid wsp:val=&quot;009D25E3&quot;/&gt;&lt;wsp:rsid wsp:val=&quot;009D49BC&quot;/&gt;&lt;wsp:rsid wsp:val=&quot;009D6963&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1151&quot;/&gt;&lt;wsp:rsid wsp:val=&quot;009F46E3&quot;/&gt;&lt;wsp:rsid wsp:val=&quot;009F4830&quot;/&gt;&lt;wsp:rsid wsp:val=&quot;009F69FB&quot;/&gt;&lt;wsp:rsid wsp:val=&quot;00A0110D&quot;/&gt;&lt;wsp:rsid wsp:val=&quot;00A04FA4&quot;/&gt;&lt;wsp:rsid wsp:val=&quot;00A07D2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2CC3&quot;/&gt;&lt;wsp:rsid wsp:val=&quot;00A63863&quot;/&gt;&lt;wsp:rsid wsp:val=&quot;00A64301&quot;/&gt;&lt;wsp:rsid wsp:val=&quot;00A667FD&quot;/&gt;&lt;wsp:rsid wsp:val=&quot;00A71167&quot;/&gt;&lt;wsp:rsid wsp:val=&quot;00A71D04&quot;/&gt;&lt;wsp:rsid wsp:val=&quot;00A72D98&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1ED3&quot;/&gt;&lt;wsp:rsid wsp:val=&quot;00A924D1&quot;/&gt;&lt;wsp:rsid wsp:val=&quot;00A95126&quot;/&gt;&lt;wsp:rsid wsp:val=&quot;00A9661B&quot;/&gt;&lt;wsp:rsid wsp:val=&quot;00AA09D7&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6A75&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1FD&quot;/&gt;&lt;wsp:rsid wsp:val=&quot;00B027F4&quot;/&gt;&lt;wsp:rsid wsp:val=&quot;00B02CFA&quot;/&gt;&lt;wsp:rsid wsp:val=&quot;00B04276&quot;/&gt;&lt;wsp:rsid wsp:val=&quot;00B042C3&quot;/&gt;&lt;wsp:rsid wsp:val=&quot;00B047FB&quot;/&gt;&lt;wsp:rsid wsp:val=&quot;00B057B7&quot;/&gt;&lt;wsp:rsid wsp:val=&quot;00B13627&quot;/&gt;&lt;wsp:rsid wsp:val=&quot;00B13801&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36AC4&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2BC&quot;/&gt;&lt;wsp:rsid wsp:val=&quot;00B51372&quot;/&gt;&lt;wsp:rsid wsp:val=&quot;00B51987&quot;/&gt;&lt;wsp:rsid wsp:val=&quot;00B519BD&quot;/&gt;&lt;wsp:rsid wsp:val=&quot;00B52708&quot;/&gt;&lt;wsp:rsid wsp:val=&quot;00B529BC&quot;/&gt;&lt;wsp:rsid wsp:val=&quot;00B52B32&quot;/&gt;&lt;wsp:rsid wsp:val=&quot;00B54F4D&quot;/&gt;&lt;wsp:rsid wsp:val=&quot;00B55528&quot;/&gt;&lt;wsp:rsid wsp:val=&quot;00B55621&quot;/&gt;&lt;wsp:rsid wsp:val=&quot;00B55DB1&quot;/&gt;&lt;wsp:rsid wsp:val=&quot;00B56F1C&quot;/&gt;&lt;wsp:rsid wsp:val=&quot;00B601DC&quot;/&gt;&lt;wsp:rsid wsp:val=&quot;00B616D7&quot;/&gt;&lt;wsp:rsid wsp:val=&quot;00B631FD&quot;/&gt;&lt;wsp:rsid wsp:val=&quot;00B63624&quot;/&gt;&lt;wsp:rsid wsp:val=&quot;00B639F2&quot;/&gt;&lt;wsp:rsid wsp:val=&quot;00B640E8&quot;/&gt;&lt;wsp:rsid wsp:val=&quot;00B65473&quot;/&gt;&lt;wsp:rsid wsp:val=&quot;00B66FDF&quot;/&gt;&lt;wsp:rsid wsp:val=&quot;00B70F7C&quot;/&gt;&lt;wsp:rsid wsp:val=&quot;00B7219D&quot;/&gt;&lt;wsp:rsid wsp:val=&quot;00B727C9&quot;/&gt;&lt;wsp:rsid wsp:val=&quot;00B74008&quot;/&gt;&lt;wsp:rsid wsp:val=&quot;00B747D3&quot;/&gt;&lt;wsp:rsid wsp:val=&quot;00B75DE1&quot;/&gt;&lt;wsp:rsid wsp:val=&quot;00B80F17&quot;/&gt;&lt;wsp:rsid wsp:val=&quot;00B86333&quot;/&gt;&lt;wsp:rsid wsp:val=&quot;00B906C7&quot;/&gt;&lt;wsp:rsid wsp:val=&quot;00B94A19&quot;/&gt;&lt;wsp:rsid wsp:val=&quot;00B964BE&quot;/&gt;&lt;wsp:rsid wsp:val=&quot;00B976A8&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41E0&quot;/&gt;&lt;wsp:rsid wsp:val=&quot;00BB52CF&quot;/&gt;&lt;wsp:rsid wsp:val=&quot;00BB5369&quot;/&gt;&lt;wsp:rsid wsp:val=&quot;00BB56DE&quot;/&gt;&lt;wsp:rsid wsp:val=&quot;00BC0B79&quot;/&gt;&lt;wsp:rsid wsp:val=&quot;00BC0C1F&quot;/&gt;&lt;wsp:rsid wsp:val=&quot;00BC2941&quot;/&gt;&lt;wsp:rsid wsp:val=&quot;00BC29C2&quot;/&gt;&lt;wsp:rsid wsp:val=&quot;00BC370E&quot;/&gt;&lt;wsp:rsid wsp:val=&quot;00BC3D43&quot;/&gt;&lt;wsp:rsid wsp:val=&quot;00BC7386&quot;/&gt;&lt;wsp:rsid wsp:val=&quot;00BC75B5&quot;/&gt;&lt;wsp:rsid wsp:val=&quot;00BD10D2&quot;/&gt;&lt;wsp:rsid wsp:val=&quot;00BD114B&quot;/&gt;&lt;wsp:rsid wsp:val=&quot;00BD4762&quot;/&gt;&lt;wsp:rsid wsp:val=&quot;00BD491D&quot;/&gt;&lt;wsp:rsid wsp:val=&quot;00BD4FA9&quot;/&gt;&lt;wsp:rsid wsp:val=&quot;00BD5E6D&quot;/&gt;&lt;wsp:rsid wsp:val=&quot;00BD604C&quot;/&gt;&lt;wsp:rsid wsp:val=&quot;00BE3B07&quot;/&gt;&lt;wsp:rsid wsp:val=&quot;00BE6024&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02E&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2F22&quot;/&gt;&lt;wsp:rsid wsp:val=&quot;00C26E62&quot;/&gt;&lt;wsp:rsid wsp:val=&quot;00C2739B&quot;/&gt;&lt;wsp:rsid wsp:val=&quot;00C30853&quot;/&gt;&lt;wsp:rsid wsp:val=&quot;00C31265&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8D3&quot;/&gt;&lt;wsp:rsid wsp:val=&quot;00C55F50&quot;/&gt;&lt;wsp:rsid wsp:val=&quot;00C569AB&quot;/&gt;&lt;wsp:rsid wsp:val=&quot;00C569CC&quot;/&gt;&lt;wsp:rsid wsp:val=&quot;00C57ACC&quot;/&gt;&lt;wsp:rsid wsp:val=&quot;00C62130&quot;/&gt;&lt;wsp:rsid wsp:val=&quot;00C6529A&quot;/&gt;&lt;wsp:rsid wsp:val=&quot;00C70079&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16CA&quot;/&gt;&lt;wsp:rsid wsp:val=&quot;00C84ACC&quot;/&gt;&lt;wsp:rsid wsp:val=&quot;00C84B47&quot;/&gt;&lt;wsp:rsid wsp:val=&quot;00C85321&quot;/&gt;&lt;wsp:rsid wsp:val=&quot;00C86B16&quot;/&gt;&lt;wsp:rsid wsp:val=&quot;00C878E9&quot;/&gt;&lt;wsp:rsid wsp:val=&quot;00C91D1C&quot;/&gt;&lt;wsp:rsid wsp:val=&quot;00C941C9&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D7CC4&quot;/&gt;&lt;wsp:rsid wsp:val=&quot;00CE2813&quot;/&gt;&lt;wsp:rsid wsp:val=&quot;00CE35EA&quot;/&gt;&lt;wsp:rsid wsp:val=&quot;00CE3D62&quot;/&gt;&lt;wsp:rsid wsp:val=&quot;00CE478C&quot;/&gt;&lt;wsp:rsid wsp:val=&quot;00CE7A56&quot;/&gt;&lt;wsp:rsid wsp:val=&quot;00CF0B03&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8B1&quot;/&gt;&lt;wsp:rsid wsp:val=&quot;00D16974&quot;/&gt;&lt;wsp:rsid wsp:val=&quot;00D20BAF&quot;/&gt;&lt;wsp:rsid wsp:val=&quot;00D20F88&quot;/&gt;&lt;wsp:rsid wsp:val=&quot;00D21238&quot;/&gt;&lt;wsp:rsid wsp:val=&quot;00D21BF2&quot;/&gt;&lt;wsp:rsid wsp:val=&quot;00D24512&quot;/&gt;&lt;wsp:rsid wsp:val=&quot;00D25D15&quot;/&gt;&lt;wsp:rsid wsp:val=&quot;00D26D98&quot;/&gt;&lt;wsp:rsid wsp:val=&quot;00D3374A&quot;/&gt;&lt;wsp:rsid wsp:val=&quot;00D34E06&quot;/&gt;&lt;wsp:rsid wsp:val=&quot;00D3600E&quot;/&gt;&lt;wsp:rsid wsp:val=&quot;00D4033B&quot;/&gt;&lt;wsp:rsid wsp:val=&quot;00D40A92&quot;/&gt;&lt;wsp:rsid wsp:val=&quot;00D4230C&quot;/&gt;&lt;wsp:rsid wsp:val=&quot;00D4263C&quot;/&gt;&lt;wsp:rsid wsp:val=&quot;00D43594&quot;/&gt;&lt;wsp:rsid wsp:val=&quot;00D43CBF&quot;/&gt;&lt;wsp:rsid wsp:val=&quot;00D44D53&quot;/&gt;&lt;wsp:rsid wsp:val=&quot;00D464A2&quot;/&gt;&lt;wsp:rsid wsp:val=&quot;00D506D0&quot;/&gt;&lt;wsp:rsid wsp:val=&quot;00D50E15&quot;/&gt;&lt;wsp:rsid wsp:val=&quot;00D51795&quot;/&gt;&lt;wsp:rsid wsp:val=&quot;00D52A83&quot;/&gt;&lt;wsp:rsid wsp:val=&quot;00D5616D&quot;/&gt;&lt;wsp:rsid wsp:val=&quot;00D5711F&quot;/&gt;&lt;wsp:rsid wsp:val=&quot;00D6167F&quot;/&gt;&lt;wsp:rsid wsp:val=&quot;00D616F1&quot;/&gt;&lt;wsp:rsid wsp:val=&quot;00D63474&quot;/&gt;&lt;wsp:rsid wsp:val=&quot;00D63714&quot;/&gt;&lt;wsp:rsid wsp:val=&quot;00D6383D&quot;/&gt;&lt;wsp:rsid wsp:val=&quot;00D63AFC&quot;/&gt;&lt;wsp:rsid wsp:val=&quot;00D64B68&quot;/&gt;&lt;wsp:rsid wsp:val=&quot;00D66373&quot;/&gt;&lt;wsp:rsid wsp:val=&quot;00D66C53&quot;/&gt;&lt;wsp:rsid wsp:val=&quot;00D6781B&quot;/&gt;&lt;wsp:rsid wsp:val=&quot;00D67BE8&quot;/&gt;&lt;wsp:rsid wsp:val=&quot;00D701C3&quot;/&gt;&lt;wsp:rsid wsp:val=&quot;00D72213&quot;/&gt;&lt;wsp:rsid wsp:val=&quot;00D76391&quot;/&gt;&lt;wsp:rsid wsp:val=&quot;00D76736&quot;/&gt;&lt;wsp:rsid wsp:val=&quot;00D81D6F&quot;/&gt;&lt;wsp:rsid wsp:val=&quot;00D8292D&quot;/&gt;&lt;wsp:rsid wsp:val=&quot;00D82F01&quot;/&gt;&lt;wsp:rsid wsp:val=&quot;00D82F8E&quot;/&gt;&lt;wsp:rsid wsp:val=&quot;00D85299&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686F&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03FD&quot;/&gt;&lt;wsp:rsid wsp:val=&quot;00DB156D&quot;/&gt;&lt;wsp:rsid wsp:val=&quot;00DB17FD&quot;/&gt;&lt;wsp:rsid wsp:val=&quot;00DB25C9&quot;/&gt;&lt;wsp:rsid wsp:val=&quot;00DB2887&quot;/&gt;&lt;wsp:rsid wsp:val=&quot;00DB3AC5&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0B43&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3C9&quot;/&gt;&lt;wsp:rsid wsp:val=&quot;00DE144D&quot;/&gt;&lt;wsp:rsid wsp:val=&quot;00DE15ED&quot;/&gt;&lt;wsp:rsid wsp:val=&quot;00DE1739&quot;/&gt;&lt;wsp:rsid wsp:val=&quot;00DE6C95&quot;/&gt;&lt;wsp:rsid wsp:val=&quot;00DF0111&quot;/&gt;&lt;wsp:rsid wsp:val=&quot;00DF5416&quot;/&gt;&lt;wsp:rsid wsp:val=&quot;00E00053&quot;/&gt;&lt;wsp:rsid wsp:val=&quot;00E00BB2&quot;/&gt;&lt;wsp:rsid wsp:val=&quot;00E021E5&quot;/&gt;&lt;wsp:rsid wsp:val=&quot;00E02359&quot;/&gt;&lt;wsp:rsid wsp:val=&quot;00E03022&quot;/&gt;&lt;wsp:rsid wsp:val=&quot;00E04707&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1FD9&quot;/&gt;&lt;wsp:rsid wsp:val=&quot;00E22104&quot;/&gt;&lt;wsp:rsid wsp:val=&quot;00E24A3F&quot;/&gt;&lt;wsp:rsid wsp:val=&quot;00E25D1D&quot;/&gt;&lt;wsp:rsid wsp:val=&quot;00E2627F&quot;/&gt;&lt;wsp:rsid wsp:val=&quot;00E26964&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483&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A5&quot;/&gt;&lt;wsp:rsid wsp:val=&quot;00E730D0&quot;/&gt;&lt;wsp:rsid wsp:val=&quot;00E74753&quot;/&gt;&lt;wsp:rsid wsp:val=&quot;00E7512C&quot;/&gt;&lt;wsp:rsid wsp:val=&quot;00E75737&quot;/&gt;&lt;wsp:rsid wsp:val=&quot;00E75E82&quot;/&gt;&lt;wsp:rsid wsp:val=&quot;00E7769E&quot;/&gt;&lt;wsp:rsid wsp:val=&quot;00E81458&quot;/&gt;&lt;wsp:rsid wsp:val=&quot;00E8276B&quot;/&gt;&lt;wsp:rsid wsp:val=&quot;00E828C3&quot;/&gt;&lt;wsp:rsid wsp:val=&quot;00E83543&quot;/&gt;&lt;wsp:rsid wsp:val=&quot;00E83CC5&quot;/&gt;&lt;wsp:rsid wsp:val=&quot;00E840A5&quot;/&gt;&lt;wsp:rsid wsp:val=&quot;00E85A53&quot;/&gt;&lt;wsp:rsid wsp:val=&quot;00E87AB9&quot;/&gt;&lt;wsp:rsid wsp:val=&quot;00E90CED&quot;/&gt;&lt;wsp:rsid wsp:val=&quot;00E91816&quot;/&gt;&lt;wsp:rsid wsp:val=&quot;00E94D93&quot;/&gt;&lt;wsp:rsid wsp:val=&quot;00E95A5C&quot;/&gt;&lt;wsp:rsid wsp:val=&quot;00E95F0A&quot;/&gt;&lt;wsp:rsid wsp:val=&quot;00E968DC&quot;/&gt;&lt;wsp:rsid wsp:val=&quot;00E97987&quot;/&gt;&lt;wsp:rsid wsp:val=&quot;00EA0D4F&quot;/&gt;&lt;wsp:rsid wsp:val=&quot;00EA1EF6&quot;/&gt;&lt;wsp:rsid wsp:val=&quot;00EA20AC&quot;/&gt;&lt;wsp:rsid wsp:val=&quot;00EA21B3&quot;/&gt;&lt;wsp:rsid wsp:val=&quot;00EA235C&quot;/&gt;&lt;wsp:rsid wsp:val=&quot;00EA3085&quot;/&gt;&lt;wsp:rsid wsp:val=&quot;00EA78CB&quot;/&gt;&lt;wsp:rsid wsp:val=&quot;00EA7990&quot;/&gt;&lt;wsp:rsid wsp:val=&quot;00EB0E0F&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B17&quot;/&gt;&lt;wsp:rsid wsp:val=&quot;00EE1DB6&quot;/&gt;&lt;wsp:rsid wsp:val=&quot;00EE5BF5&quot;/&gt;&lt;wsp:rsid wsp:val=&quot;00EE700F&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771&quot;/&gt;&lt;wsp:rsid wsp:val=&quot;00F00BDB&quot;/&gt;&lt;wsp:rsid wsp:val=&quot;00F053A6&quot;/&gt;&lt;wsp:rsid wsp:val=&quot;00F07602&quot;/&gt;&lt;wsp:rsid wsp:val=&quot;00F07B8D&quot;/&gt;&lt;wsp:rsid wsp:val=&quot;00F07D58&quot;/&gt;&lt;wsp:rsid wsp:val=&quot;00F1076C&quot;/&gt;&lt;wsp:rsid wsp:val=&quot;00F10F06&quot;/&gt;&lt;wsp:rsid wsp:val=&quot;00F1304F&quot;/&gt;&lt;wsp:rsid wsp:val=&quot;00F13A18&quot;/&gt;&lt;wsp:rsid wsp:val=&quot;00F1518F&quot;/&gt;&lt;wsp:rsid wsp:val=&quot;00F15389&quot;/&gt;&lt;wsp:rsid wsp:val=&quot;00F1599E&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286F&quot;/&gt;&lt;wsp:rsid wsp:val=&quot;00F33DA4&quot;/&gt;&lt;wsp:rsid wsp:val=&quot;00F353C6&quot;/&gt;&lt;wsp:rsid wsp:val=&quot;00F36949&quot;/&gt;&lt;wsp:rsid wsp:val=&quot;00F36C74&quot;/&gt;&lt;wsp:rsid wsp:val=&quot;00F37644&quot;/&gt;&lt;wsp:rsid wsp:val=&quot;00F44456&quot;/&gt;&lt;wsp:rsid wsp:val=&quot;00F44AAD&quot;/&gt;&lt;wsp:rsid wsp:val=&quot;00F44ADB&quot;/&gt;&lt;wsp:rsid wsp:val=&quot;00F45D8C&quot;/&gt;&lt;wsp:rsid wsp:val=&quot;00F460E7&quot;/&gt;&lt;wsp:rsid wsp:val=&quot;00F5134E&quot;/&gt;&lt;wsp:rsid wsp:val=&quot;00F52B54&quot;/&gt;&lt;wsp:rsid wsp:val=&quot;00F541CD&quot;/&gt;&lt;wsp:rsid wsp:val=&quot;00F609A6&quot;/&gt;&lt;wsp:rsid wsp:val=&quot;00F61405&quot;/&gt;&lt;wsp:rsid wsp:val=&quot;00F61573&quot;/&gt;&lt;wsp:rsid wsp:val=&quot;00F632C7&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4E42&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3D51&quot;/&gt;&lt;wsp:rsid wsp:val=&quot;00FA4646&quot;/&gt;&lt;wsp:rsid wsp:val=&quot;00FA6DD9&quot;/&gt;&lt;wsp:rsid wsp:val=&quot;00FA7C6E&quot;/&gt;&lt;wsp:rsid wsp:val=&quot;00FB02B8&quot;/&gt;&lt;wsp:rsid wsp:val=&quot;00FB0F0E&quot;/&gt;&lt;wsp:rsid wsp:val=&quot;00FB1E36&quot;/&gt;&lt;wsp:rsid wsp:val=&quot;00FB3721&quot;/&gt;&lt;wsp:rsid wsp:val=&quot;00FC0112&quot;/&gt;&lt;wsp:rsid wsp:val=&quot;00FC2435&quot;/&gt;&lt;wsp:rsid wsp:val=&quot;00FC2853&quot;/&gt;&lt;wsp:rsid wsp:val=&quot;00FC2A3B&quot;/&gt;&lt;wsp:rsid wsp:val=&quot;00FC56EC&quot;/&gt;&lt;wsp:rsid wsp:val=&quot;00FC5F97&quot;/&gt;&lt;wsp:rsid wsp:val=&quot;00FC5FCE&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 wsp:val=&quot;01913EE5&quot;/&gt;&lt;wsp:rsid wsp:val=&quot;028F592D&quot;/&gt;&lt;wsp:rsid wsp:val=&quot;03442226&quot;/&gt;&lt;wsp:rsid wsp:val=&quot;03653EFA&quot;/&gt;&lt;wsp:rsid wsp:val=&quot;041A1B6C&quot;/&gt;&lt;wsp:rsid wsp:val=&quot;05076F73&quot;/&gt;&lt;wsp:rsid wsp:val=&quot;069D413E&quot;/&gt;&lt;wsp:rsid wsp:val=&quot;0AED07E6&quot;/&gt;&lt;wsp:rsid wsp:val=&quot;0C5000D6&quot;/&gt;&lt;wsp:rsid wsp:val=&quot;0D5027DF&quot;/&gt;&lt;wsp:rsid wsp:val=&quot;0DAA3665&quot;/&gt;&lt;wsp:rsid wsp:val=&quot;0F522479&quot;/&gt;&lt;wsp:rsid wsp:val=&quot;0F964C30&quot;/&gt;&lt;wsp:rsid wsp:val=&quot;10954101&quot;/&gt;&lt;wsp:rsid wsp:val=&quot;129670E6&quot;/&gt;&lt;wsp:rsid wsp:val=&quot;13535C1D&quot;/&gt;&lt;wsp:rsid wsp:val=&quot;13B00235&quot;/&gt;&lt;wsp:rsid wsp:val=&quot;142D3110&quot;/&gt;&lt;wsp:rsid wsp:val=&quot;147D7105&quot;/&gt;&lt;wsp:rsid wsp:val=&quot;15505755&quot;/&gt;&lt;wsp:rsid wsp:val=&quot;162D6DFB&quot;/&gt;&lt;wsp:rsid wsp:val=&quot;16A6727C&quot;/&gt;&lt;wsp:rsid wsp:val=&quot;176F31FD&quot;/&gt;&lt;wsp:rsid wsp:val=&quot;1AE579CF&quot;/&gt;&lt;wsp:rsid wsp:val=&quot;1B7B1F7C&quot;/&gt;&lt;wsp:rsid wsp:val=&quot;1BDF4200&quot;/&gt;&lt;wsp:rsid wsp:val=&quot;1C461BF2&quot;/&gt;&lt;wsp:rsid wsp:val=&quot;1CBE498C&quot;/&gt;&lt;wsp:rsid wsp:val=&quot;1F633C25&quot;/&gt;&lt;wsp:rsid wsp:val=&quot;1FE525D4&quot;/&gt;&lt;wsp:rsid wsp:val=&quot;21962554&quot;/&gt;&lt;wsp:rsid wsp:val=&quot;21AB295D&quot;/&gt;&lt;wsp:rsid wsp:val=&quot;21E62F9A&quot;/&gt;&lt;wsp:rsid wsp:val=&quot;23FC2058&quot;/&gt;&lt;wsp:rsid wsp:val=&quot;24083460&quot;/&gt;&lt;wsp:rsid wsp:val=&quot;240C1A97&quot;/&gt;&lt;wsp:rsid wsp:val=&quot;24402A29&quot;/&gt;&lt;wsp:rsid wsp:val=&quot;24EF1192&quot;/&gt;&lt;wsp:rsid wsp:val=&quot;26B54D1B&quot;/&gt;&lt;wsp:rsid wsp:val=&quot;27504F53&quot;/&gt;&lt;wsp:rsid wsp:val=&quot;27EC0D41&quot;/&gt;&lt;wsp:rsid wsp:val=&quot;288C7A13&quot;/&gt;&lt;wsp:rsid wsp:val=&quot;29280A4A&quot;/&gt;&lt;wsp:rsid wsp:val=&quot;2A242902&quot;/&gt;&lt;wsp:rsid wsp:val=&quot;2B0F5A52&quot;/&gt;&lt;wsp:rsid wsp:val=&quot;2BA210C8&quot;/&gt;&lt;wsp:rsid wsp:val=&quot;2C322210&quot;/&gt;&lt;wsp:rsid wsp:val=&quot;2C880EAC&quot;/&gt;&lt;wsp:rsid wsp:val=&quot;2D0B45D8&quot;/&gt;&lt;wsp:rsid wsp:val=&quot;2D7A5F58&quot;/&gt;&lt;wsp:rsid wsp:val=&quot;2DE5090C&quot;/&gt;&lt;wsp:rsid wsp:val=&quot;2F245151&quot;/&gt;&lt;wsp:rsid wsp:val=&quot;2F9C50D7&quot;/&gt;&lt;wsp:rsid wsp:val=&quot;31CE7C91&quot;/&gt;&lt;wsp:rsid wsp:val=&quot;3337290D&quot;/&gt;&lt;wsp:rsid wsp:val=&quot;36284D13&quot;/&gt;&lt;wsp:rsid wsp:val=&quot;3894435E&quot;/&gt;&lt;wsp:rsid wsp:val=&quot;39093C9F&quot;/&gt;&lt;wsp:rsid wsp:val=&quot;3A3141FD&quot;/&gt;&lt;wsp:rsid wsp:val=&quot;3A4F2B98&quot;/&gt;&lt;wsp:rsid wsp:val=&quot;3ADB3587&quot;/&gt;&lt;wsp:rsid wsp:val=&quot;3B7A0243&quot;/&gt;&lt;wsp:rsid wsp:val=&quot;3D3B012F&quot;/&gt;&lt;wsp:rsid wsp:val=&quot;3F946430&quot;/&gt;&lt;wsp:rsid wsp:val=&quot;414D6E8F&quot;/&gt;&lt;wsp:rsid wsp:val=&quot;44C457EC&quot;/&gt;&lt;wsp:rsid wsp:val=&quot;453D5151&quot;/&gt;&lt;wsp:rsid wsp:val=&quot;46087ED9&quot;/&gt;&lt;wsp:rsid wsp:val=&quot;464F3E74&quot;/&gt;&lt;wsp:rsid wsp:val=&quot;47B7007B&quot;/&gt;&lt;wsp:rsid wsp:val=&quot;4AF34469&quot;/&gt;&lt;wsp:rsid wsp:val=&quot;4DC67269&quot;/&gt;&lt;wsp:rsid wsp:val=&quot;4EB12B06&quot;/&gt;&lt;wsp:rsid wsp:val=&quot;500669FA&quot;/&gt;&lt;wsp:rsid wsp:val=&quot;50780669&quot;/&gt;&lt;wsp:rsid wsp:val=&quot;510F2B1C&quot;/&gt;&lt;wsp:rsid wsp:val=&quot;531F30EF&quot;/&gt;&lt;wsp:rsid wsp:val=&quot;53FC68EC&quot;/&gt;&lt;wsp:rsid wsp:val=&quot;55C31C18&quot;/&gt;&lt;wsp:rsid wsp:val=&quot;563802EA&quot;/&gt;&lt;wsp:rsid wsp:val=&quot;56DC4230&quot;/&gt;&lt;wsp:rsid wsp:val=&quot;57504909&quot;/&gt;&lt;wsp:rsid wsp:val=&quot;583E2C99&quot;/&gt;&lt;wsp:rsid wsp:val=&quot;59801151&quot;/&gt;&lt;wsp:rsid wsp:val=&quot;5DF259C4&quot;/&gt;&lt;wsp:rsid wsp:val=&quot;60B62CF0&quot;/&gt;&lt;wsp:rsid wsp:val=&quot;64894531&quot;/&gt;&lt;wsp:rsid wsp:val=&quot;65185966&quot;/&gt;&lt;wsp:rsid wsp:val=&quot;651B6D5B&quot;/&gt;&lt;wsp:rsid wsp:val=&quot;655E3BFF&quot;/&gt;&lt;wsp:rsid wsp:val=&quot;65D861FB&quot;/&gt;&lt;wsp:rsid wsp:val=&quot;66874C3F&quot;/&gt;&lt;wsp:rsid wsp:val=&quot;66B83AD3&quot;/&gt;&lt;wsp:rsid wsp:val=&quot;67297020&quot;/&gt;&lt;wsp:rsid wsp:val=&quot;67C878B1&quot;/&gt;&lt;wsp:rsid wsp:val=&quot;68856D5A&quot;/&gt;&lt;wsp:rsid wsp:val=&quot;69E43F64&quot;/&gt;&lt;wsp:rsid wsp:val=&quot;6A4F07BF&quot;/&gt;&lt;wsp:rsid wsp:val=&quot;6AE00E93&quot;/&gt;&lt;wsp:rsid wsp:val=&quot;6B6272BA&quot;/&gt;&lt;wsp:rsid wsp:val=&quot;6D5814A1&quot;/&gt;&lt;wsp:rsid wsp:val=&quot;6EC31DA1&quot;/&gt;&lt;wsp:rsid wsp:val=&quot;6F0179C4&quot;/&gt;&lt;wsp:rsid wsp:val=&quot;71D35B1D&quot;/&gt;&lt;wsp:rsid wsp:val=&quot;73A2363E&quot;/&gt;&lt;wsp:rsid wsp:val=&quot;73BA76AB&quot;/&gt;&lt;wsp:rsid wsp:val=&quot;74864E1F&quot;/&gt;&lt;wsp:rsid wsp:val=&quot;75E507FE&quot;/&gt;&lt;wsp:rsid wsp:val=&quot;762A50E3&quot;/&gt;&lt;wsp:rsid wsp:val=&quot;76832D14&quot;/&gt;&lt;wsp:rsid wsp:val=&quot;770120C4&quot;/&gt;&lt;wsp:rsid wsp:val=&quot;792621D5&quot;/&gt;&lt;wsp:rsid wsp:val=&quot;79CF15E2&quot;/&gt;&lt;wsp:rsid wsp:val=&quot;7B1A1859&quot;/&gt;&lt;wsp:rsid wsp:val=&quot;7D934810&quot;/&gt;&lt;wsp:rsid wsp:val=&quot;7D98132E&quot;/&gt;&lt;wsp:rsid wsp:val=&quot;7DBB021F&quot;/&gt;&lt;wsp:rsid wsp:val=&quot;7E502455&quot;/&gt;&lt;wsp:rsid wsp:val=&quot;7E6B465F&quot;/&gt;&lt;wsp:rsid wsp:val=&quot;7FF4188E&quot;/&gt;&lt;/wsp:rsids&gt;&lt;/w:docPr&gt;&lt;w:body&gt;&lt;wx:sect&gt;&lt;w:p wsp:rsidR=&quot;00000000&quot; wsp:rsidRDefault=&quot;00CF0B03&quot; wsp:rsidP=&quot;00CF0B03&quot;&gt;&lt;m:oMathPara&gt;&lt;m:oMath&gt;&lt;m:r&gt;&lt;w:rPr&gt;&lt;w:rFonts w:ascii=&quot;Cambria Math&quot; w:h-ansi=&quot;Cambria Math&quot;/&gt;&lt;wx:font wx:val=&quot;Cambria Math&quot;/&gt;&lt;w:i/&gt;&lt;w:sz-cs w:val=&quot;20&quot;/&gt;&lt;w:lang w:fareast=&quot;KO&quot;/&gt;&lt;/w:rPr&gt;&lt;m:t&gt;m+3&lt;/m:t&gt;&lt;/m:r&gt;&lt;m:sSubSup&gt;&lt;m:sSubSupPr&gt;&lt;m:ctrlPr&gt;&lt;w:rPr&gt;&lt;w:rFonts w:ascii=&quot;Cambria Math&quot; w:h-ansi=&quot;Cambria Math&quot;/&gt;&lt;wx:font wx:val=&quot;Cambria Math&quot;/&gt;&lt;w:b-cs/&gt;&lt;w:i/&gt;&lt;w:sz-cs w:val=&quot;20&quot;/&gt;&lt;w:lang w:fareast=&quot;KO&quot;/&gt;&lt;/w:rPr&gt;&lt;/m:ctrlPr&gt;&lt;/m:sSubSupPr&gt;&lt;m:e&gt;&lt;m:r&gt;&lt;w:rPr&gt;&lt;w:rFonts w:ascii=&quot;Cambria Math&quot; w:h-ansi=&quot;Cambria Math&quot;/&gt;&lt;wx:font wx:val=&quot;Cambria Math&quot;/&gt;&lt;w:i/&gt;&lt;w:sz-cs w:val=&quot;20&quot;/&gt;&lt;w:lang w:fareast=&quot;KO&quot;/&gt;&lt;/w:rPr&gt;&lt;m:t&gt;N&lt;/m:t&gt;&lt;/m:r&gt;&lt;/m:e&gt;&lt;m:sub&gt;&lt;m:r&gt;&lt;m:rPr&gt;&lt;m:nor/&gt;&lt;/m:rPr&gt;&lt;w:rPr&gt;&lt;w:rFonts w:ascii=&quot;Times New Roman&quot; w:h-ansi=&quot;Times New Roman&quot;/&gt;&lt;wx:font wx:val=&quot;Times New Roman&quot;/&gt;&lt;w:b-cs/&gt;&lt;w:i/&gt;&lt;w:sz-cs w:val=&quot;20&quot;/&gt;&lt;w:lang w:fareast=&quot;KO&quot;/&gt;&lt;/w:rPr&gt;&lt;m:t&gt;slot&lt;/m:t&gt;&lt;/m:r&gt;&lt;/m:sub&gt;&lt;m:sup&gt;&lt;m:r&gt;&lt;m:rPr&gt;&lt;m:nor/&gt;&lt;/m:rPr&gt;&lt;w:rPr&gt;&lt;w:rFonts w:ascii=&quot;Times New Roman&quot; w:h-ansi=&quot;Times New Roman&quot;/&gt;&lt;wx:font wx:val=&quot;Times New Roman&quot;/&gt;&lt;w:b-cs/&gt;&lt;w:i/&gt;&lt;w:sz-cs w:val=&quot;20&quot;/&gt;&lt;w:lang w:fareast=&quot;KO&quot;/&gt;&lt;/w:rPr&gt;&lt;m:t&gt;subframe&lt;/m:t&gt;&lt;/m:r&gt;&lt;m:r&gt;&lt;w:rPr&gt;&lt;w:rFonts w:ascii=&quot;Cambria Math&quot; w:h-ansi=&quot;Cambria Math&quot;/&gt;&lt;wx:font wx:val=&quot;Cambria Math&quot;/&gt;&lt;w:i/&gt;&lt;w:sz-cs w:val=&quot;20&quot;/&gt;&lt;w:lang w:fareast=&quot;KO&quot;/&gt;&lt;/w:rPr&gt;&lt;m:t&gt;,μ&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Times New Roman" w:hAnsi="Times New Roman"/>
                <w:bCs/>
                <w:szCs w:val="20"/>
                <w:lang w:eastAsia="ko-KR"/>
              </w:rPr>
              <w:fldChar w:fldCharType="end"/>
            </w:r>
            <w:r>
              <w:rPr>
                <w:rFonts w:ascii="Times New Roman" w:hAnsi="Times New Roman"/>
                <w:bCs/>
                <w:szCs w:val="20"/>
                <w:lang w:eastAsia="ko-KR"/>
              </w:rPr>
              <w:t>+1</w:t>
            </w:r>
            <w:r>
              <w:rPr>
                <w:rFonts w:hint="eastAsia" w:ascii="Times New Roman" w:hAnsi="Times New Roman"/>
                <w:bCs/>
                <w:szCs w:val="20"/>
                <w:lang w:eastAsia="ko-KR"/>
              </w:rPr>
              <w:t xml:space="preserve"> where slot </w:t>
            </w:r>
            <w:r>
              <w:rPr>
                <w:rFonts w:hint="eastAsia" w:ascii="Times New Roman" w:hAnsi="Times New Roman"/>
                <w:bCs/>
                <w:i/>
                <w:iCs/>
                <w:szCs w:val="20"/>
                <w:lang w:eastAsia="ko-KR"/>
              </w:rPr>
              <w:t>n</w:t>
            </w:r>
            <w:r>
              <w:rPr>
                <w:rFonts w:hint="eastAsia" w:ascii="Times New Roman" w:hAnsi="Times New Roman"/>
                <w:bCs/>
                <w:szCs w:val="20"/>
                <w:lang w:eastAsia="ko-KR"/>
              </w:rPr>
              <w:t>+</w:t>
            </w:r>
            <w:r>
              <w:rPr>
                <w:rFonts w:hint="eastAsia" w:ascii="Times New Roman" w:hAnsi="Times New Roman"/>
                <w:bCs/>
                <w:i/>
                <w:iCs/>
                <w:szCs w:val="20"/>
                <w:lang w:eastAsia="ko-KR"/>
              </w:rPr>
              <w:t>m</w:t>
            </w:r>
            <w:r>
              <w:rPr>
                <w:rFonts w:hint="eastAsia"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hint="eastAsia" w:ascii="Times New Roman" w:hAnsi="Times New Roman"/>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hint="eastAsia" w:ascii="Times New Roman" w:hAnsi="Times New Roman"/>
                <w:iCs/>
                <w:szCs w:val="20"/>
                <w:lang w:eastAsia="ko-KR"/>
              </w:rPr>
              <w:t xml:space="preserve">, and </w:t>
            </w:r>
            <w:r>
              <w:rPr>
                <w:rFonts w:ascii="Times New Roman" w:hAnsi="Times New Roman"/>
                <w:iCs/>
                <w:szCs w:val="20"/>
                <w:lang w:eastAsia="ko-KR"/>
              </w:rPr>
              <w:fldChar w:fldCharType="begin"/>
            </w:r>
            <w:r>
              <w:rPr>
                <w:rFonts w:ascii="Times New Roman" w:hAnsi="Times New Roman"/>
                <w:iCs/>
                <w:szCs w:val="20"/>
                <w:lang w:eastAsia="ko-KR"/>
              </w:rPr>
              <w:instrText xml:space="preserve"> QUOTE </w:instrText>
            </w:r>
            <w:r>
              <w:rPr>
                <w:rFonts w:hint="eastAsia"/>
                <w:position w:val="-8"/>
              </w:rPr>
              <w:pict>
                <v:shape id="_x0000_i1027" o:spt="75" type="#_x0000_t75" style="height:15pt;width:40.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defaultTabStop w:val=&quot;799&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27A5&quot;/&gt;&lt;wsp:rsid wsp:val=&quot;00002AED&quot;/&gt;&lt;wsp:rsid wsp:val=&quot;000049DC&quot;/&gt;&lt;wsp:rsid wsp:val=&quot;00006115&quot;/&gt;&lt;wsp:rsid wsp:val=&quot;00006E91&quot;/&gt;&lt;wsp:rsid wsp:val=&quot;00013C50&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5694&quot;/&gt;&lt;wsp:rsid wsp:val=&quot;0002646D&quot;/&gt;&lt;wsp:rsid wsp:val=&quot;0002658D&quot;/&gt;&lt;wsp:rsid wsp:val=&quot;00027418&quot;/&gt;&lt;wsp:rsid wsp:val=&quot;00027793&quot;/&gt;&lt;wsp:rsid wsp:val=&quot;00030286&quot;/&gt;&lt;wsp:rsid wsp:val=&quot;000321DC&quot;/&gt;&lt;wsp:rsid wsp:val=&quot;00032D66&quot;/&gt;&lt;wsp:rsid wsp:val=&quot;00034896&quot;/&gt;&lt;wsp:rsid wsp:val=&quot;00034D4D&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1EEE&quot;/&gt;&lt;wsp:rsid wsp:val=&quot;00063AE7&quot;/&gt;&lt;wsp:rsid wsp:val=&quot;00064CDB&quot;/&gt;&lt;wsp:rsid wsp:val=&quot;000666C0&quot;/&gt;&lt;wsp:rsid wsp:val=&quot;00070E52&quot;/&gt;&lt;wsp:rsid wsp:val=&quot;00073A64&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0F2&quot;/&gt;&lt;wsp:rsid wsp:val=&quot;000969AF&quot;/&gt;&lt;wsp:rsid wsp:val=&quot;000A0641&quot;/&gt;&lt;wsp:rsid wsp:val=&quot;000A3922&quot;/&gt;&lt;wsp:rsid wsp:val=&quot;000A57B3&quot;/&gt;&lt;wsp:rsid wsp:val=&quot;000A5EF6&quot;/&gt;&lt;wsp:rsid wsp:val=&quot;000B0DA5&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229&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0F0529&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411F&quot;/&gt;&lt;wsp:rsid wsp:val=&quot;001452E3&quot;/&gt;&lt;wsp:rsid wsp:val=&quot;00145E2B&quot;/&gt;&lt;wsp:rsid wsp:val=&quot;0014603D&quot;/&gt;&lt;wsp:rsid wsp:val=&quot;00146D61&quot;/&gt;&lt;wsp:rsid wsp:val=&quot;001474C4&quot;/&gt;&lt;wsp:rsid wsp:val=&quot;00150C17&quot;/&gt;&lt;wsp:rsid wsp:val=&quot;0015249E&quot;/&gt;&lt;wsp:rsid wsp:val=&quot;00154717&quot;/&gt;&lt;wsp:rsid wsp:val=&quot;00155082&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0489&quot;/&gt;&lt;wsp:rsid wsp:val=&quot;001804F1&quot;/&gt;&lt;wsp:rsid wsp:val=&quot;001810BD&quot;/&gt;&lt;wsp:rsid wsp:val=&quot;00181906&quot;/&gt;&lt;wsp:rsid wsp:val=&quot;00182437&quot;/&gt;&lt;wsp:rsid wsp:val=&quot;00182D68&quot;/&gt;&lt;wsp:rsid wsp:val=&quot;00184862&quot;/&gt;&lt;wsp:rsid wsp:val=&quot;00184D3E&quot;/&gt;&lt;wsp:rsid wsp:val=&quot;00185777&quot;/&gt;&lt;wsp:rsid wsp:val=&quot;00185CFE&quot;/&gt;&lt;wsp:rsid wsp:val=&quot;00186520&quot;/&gt;&lt;wsp:rsid wsp:val=&quot;00191AC9&quot;/&gt;&lt;wsp:rsid wsp:val=&quot;001941E6&quot;/&gt;&lt;wsp:rsid wsp:val=&quot;0019426E&quot;/&gt;&lt;wsp:rsid wsp:val=&quot;00195BCA&quot;/&gt;&lt;wsp:rsid wsp:val=&quot;00197AA5&quot;/&gt;&lt;wsp:rsid wsp:val=&quot;001A0414&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79F&quot;/&gt;&lt;wsp:rsid wsp:val=&quot;001C3FFD&quot;/&gt;&lt;wsp:rsid wsp:val=&quot;001C40D9&quot;/&gt;&lt;wsp:rsid wsp:val=&quot;001C5621&quot;/&gt;&lt;wsp:rsid wsp:val=&quot;001C74BE&quot;/&gt;&lt;wsp:rsid wsp:val=&quot;001C7C35&quot;/&gt;&lt;wsp:rsid wsp:val=&quot;001D0216&quot;/&gt;&lt;wsp:rsid wsp:val=&quot;001D04E7&quot;/&gt;&lt;wsp:rsid wsp:val=&quot;001D150F&quot;/&gt;&lt;wsp:rsid wsp:val=&quot;001D41B7&quot;/&gt;&lt;wsp:rsid wsp:val=&quot;001D52A5&quot;/&gt;&lt;wsp:rsid wsp:val=&quot;001D5746&quot;/&gt;&lt;wsp:rsid wsp:val=&quot;001D6962&quot;/&gt;&lt;wsp:rsid wsp:val=&quot;001D6F38&quot;/&gt;&lt;wsp:rsid wsp:val=&quot;001D7AE8&quot;/&gt;&lt;wsp:rsid wsp:val=&quot;001D7CDA&quot;/&gt;&lt;wsp:rsid wsp:val=&quot;001E3299&quot;/&gt;&lt;wsp:rsid wsp:val=&quot;001E41BC&quot;/&gt;&lt;wsp:rsid wsp:val=&quot;001E4536&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1F3928&quot;/&gt;&lt;wsp:rsid wsp:val=&quot;002004B2&quot;/&gt;&lt;wsp:rsid wsp:val=&quot;00202C71&quot;/&gt;&lt;wsp:rsid wsp:val=&quot;0020564C&quot;/&gt;&lt;wsp:rsid wsp:val=&quot;00206F84&quot;/&gt;&lt;wsp:rsid wsp:val=&quot;00210B7B&quot;/&gt;&lt;wsp:rsid wsp:val=&quot;00211448&quot;/&gt;&lt;wsp:rsid wsp:val=&quot;0021214B&quot;/&gt;&lt;wsp:rsid wsp:val=&quot;00213E6A&quot;/&gt;&lt;wsp:rsid wsp:val=&quot;00214F2A&quot;/&gt;&lt;wsp:rsid wsp:val=&quot;00216804&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0826&quot;/&gt;&lt;wsp:rsid wsp:val=&quot;0025116B&quot;/&gt;&lt;wsp:rsid wsp:val=&quot;00251A50&quot;/&gt;&lt;wsp:rsid wsp:val=&quot;002526D0&quot;/&gt;&lt;wsp:rsid wsp:val=&quot;0025466B&quot;/&gt;&lt;wsp:rsid wsp:val=&quot;00254FA9&quot;/&gt;&lt;wsp:rsid wsp:val=&quot;002556B6&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D9B&quot;/&gt;&lt;wsp:rsid wsp:val=&quot;00282E2C&quot;/&gt;&lt;wsp:rsid wsp:val=&quot;00282FD2&quot;/&gt;&lt;wsp:rsid wsp:val=&quot;00284207&quot;/&gt;&lt;wsp:rsid wsp:val=&quot;00285E3A&quot;/&gt;&lt;wsp:rsid wsp:val=&quot;00286532&quot;/&gt;&lt;wsp:rsid wsp:val=&quot;002912A8&quot;/&gt;&lt;wsp:rsid wsp:val=&quot;00293C36&quot;/&gt;&lt;wsp:rsid wsp:val=&quot;00293DB3&quot;/&gt;&lt;wsp:rsid wsp:val=&quot;0029433B&quot;/&gt;&lt;wsp:rsid wsp:val=&quot;00294EFB&quot;/&gt;&lt;wsp:rsid wsp:val=&quot;0029757E&quot;/&gt;&lt;wsp:rsid wsp:val=&quot;00297DD6&quot;/&gt;&lt;wsp:rsid wsp:val=&quot;00297DED&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6FA4&quot;/&gt;&lt;wsp:rsid wsp:val=&quot;002C7702&quot;/&gt;&lt;wsp:rsid wsp:val=&quot;002D0410&quot;/&gt;&lt;wsp:rsid wsp:val=&quot;002D1A27&quot;/&gt;&lt;wsp:rsid wsp:val=&quot;002D2CF7&quot;/&gt;&lt;wsp:rsid wsp:val=&quot;002D4D40&quot;/&gt;&lt;wsp:rsid wsp:val=&quot;002D5218&quot;/&gt;&lt;wsp:rsid wsp:val=&quot;002D6E7D&quot;/&gt;&lt;wsp:rsid wsp:val=&quot;002E1DF6&quot;/&gt;&lt;wsp:rsid wsp:val=&quot;002E687D&quot;/&gt;&lt;wsp:rsid wsp:val=&quot;002E74B5&quot;/&gt;&lt;wsp:rsid wsp:val=&quot;002F0759&quot;/&gt;&lt;wsp:rsid wsp:val=&quot;002F10CA&quot;/&gt;&lt;wsp:rsid wsp:val=&quot;002F1E2B&quot;/&gt;&lt;wsp:rsid wsp:val=&quot;002F2880&quot;/&gt;&lt;wsp:rsid wsp:val=&quot;002F4411&quot;/&gt;&lt;wsp:rsid wsp:val=&quot;002F5259&quot;/&gt;&lt;wsp:rsid wsp:val=&quot;002F57D7&quot;/&gt;&lt;wsp:rsid wsp:val=&quot;002F64B1&quot;/&gt;&lt;wsp:rsid wsp:val=&quot;002F7271&quot;/&gt;&lt;wsp:rsid wsp:val=&quot;002F739A&quot;/&gt;&lt;wsp:rsid wsp:val=&quot;00302398&quot;/&gt;&lt;wsp:rsid wsp:val=&quot;00304116&quot;/&gt;&lt;wsp:rsid wsp:val=&quot;003043B3&quot;/&gt;&lt;wsp:rsid wsp:val=&quot;0030490C&quot;/&gt;&lt;wsp:rsid wsp:val=&quot;0030546D&quot;/&gt;&lt;wsp:rsid wsp:val=&quot;0031112E&quot;/&gt;&lt;wsp:rsid wsp:val=&quot;00312317&quot;/&gt;&lt;wsp:rsid wsp:val=&quot;00313594&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2362&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434D&quot;/&gt;&lt;wsp:rsid wsp:val=&quot;00374380&quot;/&gt;&lt;wsp:rsid wsp:val=&quot;00374F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3028&quot;/&gt;&lt;wsp:rsid wsp:val=&quot;00394116&quot;/&gt;&lt;wsp:rsid wsp:val=&quot;00394AC8&quot;/&gt;&lt;wsp:rsid wsp:val=&quot;003957ED&quot;/&gt;&lt;wsp:rsid wsp:val=&quot;00397A6D&quot;/&gt;&lt;wsp:rsid wsp:val=&quot;003A135F&quot;/&gt;&lt;wsp:rsid wsp:val=&quot;003A4382&quot;/&gt;&lt;wsp:rsid wsp:val=&quot;003A4607&quot;/&gt;&lt;wsp:rsid wsp:val=&quot;003A72FB&quot;/&gt;&lt;wsp:rsid wsp:val=&quot;003A7CEB&quot;/&gt;&lt;wsp:rsid wsp:val=&quot;003B0BF8&quot;/&gt;&lt;wsp:rsid wsp:val=&quot;003B2B12&quot;/&gt;&lt;wsp:rsid wsp:val=&quot;003B30EF&quot;/&gt;&lt;wsp:rsid wsp:val=&quot;003B3DC0&quot;/&gt;&lt;wsp:rsid wsp:val=&quot;003B6548&quot;/&gt;&lt;wsp:rsid wsp:val=&quot;003B7BF9&quot;/&gt;&lt;wsp:rsid wsp:val=&quot;003C04F9&quot;/&gt;&lt;wsp:rsid wsp:val=&quot;003C1E97&quot;/&gt;&lt;wsp:rsid wsp:val=&quot;003C3033&quot;/&gt;&lt;wsp:rsid wsp:val=&quot;003C4584&quot;/&gt;&lt;wsp:rsid wsp:val=&quot;003C4EAC&quot;/&gt;&lt;wsp:rsid wsp:val=&quot;003C5C06&quot;/&gt;&lt;wsp:rsid wsp:val=&quot;003C6728&quot;/&gt;&lt;wsp:rsid wsp:val=&quot;003D194E&quot;/&gt;&lt;wsp:rsid wsp:val=&quot;003D33A8&quot;/&gt;&lt;wsp:rsid wsp:val=&quot;003D43C9&quot;/&gt;&lt;wsp:rsid wsp:val=&quot;003D4D92&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33B7&quot;/&gt;&lt;wsp:rsid wsp:val=&quot;003F39F6&quot;/&gt;&lt;wsp:rsid wsp:val=&quot;003F4797&quot;/&gt;&lt;wsp:rsid wsp:val=&quot;003F47B5&quot;/&gt;&lt;wsp:rsid wsp:val=&quot;003F7A24&quot;/&gt;&lt;wsp:rsid wsp:val=&quot;004003E8&quot;/&gt;&lt;wsp:rsid wsp:val=&quot;004019CB&quot;/&gt;&lt;wsp:rsid wsp:val=&quot;0040222B&quot;/&gt;&lt;wsp:rsid wsp:val=&quot;004022CC&quot;/&gt;&lt;wsp:rsid wsp:val=&quot;00402831&quot;/&gt;&lt;wsp:rsid wsp:val=&quot;00403018&quot;/&gt;&lt;wsp:rsid wsp:val=&quot;004032F1&quot;/&gt;&lt;wsp:rsid wsp:val=&quot;004035F6&quot;/&gt;&lt;wsp:rsid wsp:val=&quot;00403EDF&quot;/&gt;&lt;wsp:rsid wsp:val=&quot;00404DB1&quot;/&gt;&lt;wsp:rsid wsp:val=&quot;004109C3&quot;/&gt;&lt;wsp:rsid wsp:val=&quot;00412147&quot;/&gt;&lt;wsp:rsid wsp:val=&quot;00413C55&quot;/&gt;&lt;wsp:rsid wsp:val=&quot;00414181&quot;/&gt;&lt;wsp:rsid wsp:val=&quot;004159B2&quot;/&gt;&lt;wsp:rsid wsp:val=&quot;0041624E&quot;/&gt;&lt;wsp:rsid wsp:val=&quot;0041782C&quot;/&gt;&lt;wsp:rsid wsp:val=&quot;004200D8&quot;/&gt;&lt;wsp:rsid wsp:val=&quot;004206FA&quot;/&gt;&lt;wsp:rsid wsp:val=&quot;004213CE&quot;/&gt;&lt;wsp:rsid wsp:val=&quot;004223F1&quot;/&gt;&lt;wsp:rsid wsp:val=&quot;00424AFD&quot;/&gt;&lt;wsp:rsid wsp:val=&quot;00424C9C&quot;/&gt;&lt;wsp:rsid wsp:val=&quot;00430171&quot;/&gt;&lt;wsp:rsid wsp:val=&quot;00431123&quot;/&gt;&lt;wsp:rsid wsp:val=&quot;00431C26&quot;/&gt;&lt;wsp:rsid wsp:val=&quot;00431E83&quot;/&gt;&lt;wsp:rsid wsp:val=&quot;004329DE&quot;/&gt;&lt;wsp:rsid wsp:val=&quot;00432F62&quot;/&gt;&lt;wsp:rsid wsp:val=&quot;004345FD&quot;/&gt;&lt;wsp:rsid wsp:val=&quot;0043707E&quot;/&gt;&lt;wsp:rsid wsp:val=&quot;00437B5E&quot;/&gt;&lt;wsp:rsid wsp:val=&quot;0044004B&quot;/&gt;&lt;wsp:rsid wsp:val=&quot;0044021C&quot;/&gt;&lt;wsp:rsid wsp:val=&quot;00441B41&quot;/&gt;&lt;wsp:rsid wsp:val=&quot;00444E6F&quot;/&gt;&lt;wsp:rsid wsp:val=&quot;00444EC1&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895&quot;/&gt;&lt;wsp:rsid wsp:val=&quot;00471F19&quot;/&gt;&lt;wsp:rsid wsp:val=&quot;00473384&quot;/&gt;&lt;wsp:rsid wsp:val=&quot;00474298&quot;/&gt;&lt;wsp:rsid wsp:val=&quot;00474C18&quot;/&gt;&lt;wsp:rsid wsp:val=&quot;0048214B&quot;/&gt;&lt;wsp:rsid wsp:val=&quot;004826E7&quot;/&gt;&lt;wsp:rsid wsp:val=&quot;00485CEE&quot;/&gt;&lt;wsp:rsid wsp:val=&quot;004874D3&quot;/&gt;&lt;wsp:rsid wsp:val=&quot;004878E4&quot;/&gt;&lt;wsp:rsid wsp:val=&quot;0049013E&quot;/&gt;&lt;wsp:rsid wsp:val=&quot;004902E0&quot;/&gt;&lt;wsp:rsid wsp:val=&quot;00490947&quot;/&gt;&lt;wsp:rsid wsp:val=&quot;00490B8F&quot;/&gt;&lt;wsp:rsid wsp:val=&quot;004910AC&quot;/&gt;&lt;wsp:rsid wsp:val=&quot;00492B8D&quot;/&gt;&lt;wsp:rsid wsp:val=&quot;004945F3&quot;/&gt;&lt;wsp:rsid wsp:val=&quot;00494C99&quot;/&gt;&lt;wsp:rsid wsp:val=&quot;004952EA&quot;/&gt;&lt;wsp:rsid wsp:val=&quot;004A1B0B&quot;/&gt;&lt;wsp:rsid wsp:val=&quot;004A29F5&quot;/&gt;&lt;wsp:rsid wsp:val=&quot;004A2F9D&quot;/&gt;&lt;wsp:rsid wsp:val=&quot;004A4203&quot;/&gt;&lt;wsp:rsid wsp:val=&quot;004A4333&quot;/&gt;&lt;wsp:rsid wsp:val=&quot;004A5270&quot;/&gt;&lt;wsp:rsid wsp:val=&quot;004A6725&quot;/&gt;&lt;wsp:rsid wsp:val=&quot;004A6728&quot;/&gt;&lt;wsp:rsid wsp:val=&quot;004B0FC0&quot;/&gt;&lt;wsp:rsid wsp:val=&quot;004B1BEE&quot;/&gt;&lt;wsp:rsid wsp:val=&quot;004B2359&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2546&quot;/&gt;&lt;wsp:rsid wsp:val=&quot;004D2F5B&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E685E&quot;/&gt;&lt;wsp:rsid wsp:val=&quot;004F21E5&quot;/&gt;&lt;wsp:rsid wsp:val=&quot;004F2E30&quot;/&gt;&lt;wsp:rsid wsp:val=&quot;004F344E&quot;/&gt;&lt;wsp:rsid wsp:val=&quot;004F428C&quot;/&gt;&lt;wsp:rsid wsp:val=&quot;004F6828&quot;/&gt;&lt;wsp:rsid wsp:val=&quot;004F6879&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29FE&quot;/&gt;&lt;wsp:rsid wsp:val=&quot;00514701&quot;/&gt;&lt;wsp:rsid wsp:val=&quot;00514C06&quot;/&gt;&lt;wsp:rsid wsp:val=&quot;00515ADF&quot;/&gt;&lt;wsp:rsid wsp:val=&quot;00516B1D&quot;/&gt;&lt;wsp:rsid wsp:val=&quot;0052072B&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C4E&quot;/&gt;&lt;wsp:rsid wsp:val=&quot;00543EA0&quot;/&gt;&lt;wsp:rsid wsp:val=&quot;0054487A&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0B4F&quot;/&gt;&lt;wsp:rsid wsp:val=&quot;005634EC&quot;/&gt;&lt;wsp:rsid wsp:val=&quot;00563BDE&quot;/&gt;&lt;wsp:rsid wsp:val=&quot;005645C5&quot;/&gt;&lt;wsp:rsid wsp:val=&quot;0056693D&quot;/&gt;&lt;wsp:rsid wsp:val=&quot;0057032E&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465F&quot;/&gt;&lt;wsp:rsid wsp:val=&quot;005765F4&quot;/&gt;&lt;wsp:rsid wsp:val=&quot;005771D3&quot;/&gt;&lt;wsp:rsid wsp:val=&quot;0057754D&quot;/&gt;&lt;wsp:rsid wsp:val=&quot;00582CFF&quot;/&gt;&lt;wsp:rsid wsp:val=&quot;005849FF&quot;/&gt;&lt;wsp:rsid wsp:val=&quot;00585903&quot;/&gt;&lt;wsp:rsid wsp:val=&quot;00585CC3&quot;/&gt;&lt;wsp:rsid wsp:val=&quot;00587189&quot;/&gt;&lt;wsp:rsid wsp:val=&quot;00587DE1&quot;/&gt;&lt;wsp:rsid wsp:val=&quot;0059060C&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4B91&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07A65&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178C1&quot;/&gt;&lt;wsp:rsid wsp:val=&quot;00620ECF&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819&quot;/&gt;&lt;wsp:rsid wsp:val=&quot;006429EB&quot;/&gt;&lt;wsp:rsid wsp:val=&quot;006432CC&quot;/&gt;&lt;wsp:rsid wsp:val=&quot;006438C1&quot;/&gt;&lt;wsp:rsid wsp:val=&quot;00644560&quot;/&gt;&lt;wsp:rsid wsp:val=&quot;00645134&quot;/&gt;&lt;wsp:rsid wsp:val=&quot;00645247&quot;/&gt;&lt;wsp:rsid wsp:val=&quot;00645CFD&quot;/&gt;&lt;wsp:rsid wsp:val=&quot;00645E6A&quot;/&gt;&lt;wsp:rsid wsp:val=&quot;0065074B&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5342&quot;/&gt;&lt;wsp:rsid wsp:val=&quot;0067658D&quot;/&gt;&lt;wsp:rsid wsp:val=&quot;00677CF1&quot;/&gt;&lt;wsp:rsid wsp:val=&quot;00677E9F&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96847&quot;/&gt;&lt;wsp:rsid wsp:val=&quot;006A255C&quot;/&gt;&lt;wsp:rsid wsp:val=&quot;006A2899&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16AE&quot;/&gt;&lt;wsp:rsid wsp:val=&quot;006C274B&quot;/&gt;&lt;wsp:rsid wsp:val=&quot;006C3F49&quot;/&gt;&lt;wsp:rsid wsp:val=&quot;006C50EE&quot;/&gt;&lt;wsp:rsid wsp:val=&quot;006C6AE2&quot;/&gt;&lt;wsp:rsid wsp:val=&quot;006C7A4B&quot;/&gt;&lt;wsp:rsid wsp:val=&quot;006D130D&quot;/&gt;&lt;wsp:rsid wsp:val=&quot;006D20DA&quot;/&gt;&lt;wsp:rsid wsp:val=&quot;006D3165&quot;/&gt;&lt;wsp:rsid wsp:val=&quot;006D7A0E&quot;/&gt;&lt;wsp:rsid wsp:val=&quot;006E1596&quot;/&gt;&lt;wsp:rsid wsp:val=&quot;006E1FF3&quot;/&gt;&lt;wsp:rsid wsp:val=&quot;006E29B9&quot;/&gt;&lt;wsp:rsid wsp:val=&quot;006E407E&quot;/&gt;&lt;wsp:rsid wsp:val=&quot;006E5673&quot;/&gt;&lt;wsp:rsid wsp:val=&quot;006E66DD&quot;/&gt;&lt;wsp:rsid wsp:val=&quot;006F0FB8&quot;/&gt;&lt;wsp:rsid wsp:val=&quot;006F135C&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15F0C&quot;/&gt;&lt;wsp:rsid wsp:val=&quot;007203C8&quot;/&gt;&lt;wsp:rsid wsp:val=&quot;00720496&quot;/&gt;&lt;wsp:rsid wsp:val=&quot;00721545&quot;/&gt;&lt;wsp:rsid wsp:val=&quot;0072164E&quot;/&gt;&lt;wsp:rsid wsp:val=&quot;00721704&quot;/&gt;&lt;wsp:rsid wsp:val=&quot;00722A0A&quot;/&gt;&lt;wsp:rsid wsp:val=&quot;00722C89&quot;/&gt;&lt;wsp:rsid wsp:val=&quot;0072399E&quot;/&gt;&lt;wsp:rsid wsp:val=&quot;00724973&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1069&quot;/&gt;&lt;wsp:rsid wsp:val=&quot;007560EA&quot;/&gt;&lt;wsp:rsid wsp:val=&quot;00756874&quot;/&gt;&lt;wsp:rsid wsp:val=&quot;00757025&quot;/&gt;&lt;wsp:rsid wsp:val=&quot;0075736E&quot;/&gt;&lt;wsp:rsid wsp:val=&quot;00760E00&quot;/&gt;&lt;wsp:rsid wsp:val=&quot;00761570&quot;/&gt;&lt;wsp:rsid wsp:val=&quot;00762BCE&quot;/&gt;&lt;wsp:rsid wsp:val=&quot;00763C91&quot;/&gt;&lt;wsp:rsid wsp:val=&quot;00764B12&quot;/&gt;&lt;wsp:rsid wsp:val=&quot;0076799C&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371E&quot;/&gt;&lt;wsp:rsid wsp:val=&quot;00784592&quot;/&gt;&lt;wsp:rsid wsp:val=&quot;00784890&quot;/&gt;&lt;wsp:rsid wsp:val=&quot;00784BF2&quot;/&gt;&lt;wsp:rsid wsp:val=&quot;00785E7F&quot;/&gt;&lt;wsp:rsid wsp:val=&quot;007860DD&quot;/&gt;&lt;wsp:rsid wsp:val=&quot;0078634F&quot;/&gt;&lt;wsp:rsid wsp:val=&quot;007864FE&quot;/&gt;&lt;wsp:rsid wsp:val=&quot;00787317&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4543&quot;/&gt;&lt;wsp:rsid wsp:val=&quot;007D6E7F&quot;/&gt;&lt;wsp:rsid wsp:val=&quot;007E116C&quot;/&gt;&lt;wsp:rsid wsp:val=&quot;007E3014&quot;/&gt;&lt;wsp:rsid wsp:val=&quot;007E4353&quot;/&gt;&lt;wsp:rsid wsp:val=&quot;007E53F6&quot;/&gt;&lt;wsp:rsid wsp:val=&quot;007E5906&quot;/&gt;&lt;wsp:rsid wsp:val=&quot;007E5EE9&quot;/&gt;&lt;wsp:rsid wsp:val=&quot;007E7061&quot;/&gt;&lt;wsp:rsid wsp:val=&quot;007E79BE&quot;/&gt;&lt;wsp:rsid wsp:val=&quot;007E7FCB&quot;/&gt;&lt;wsp:rsid wsp:val=&quot;007F21CD&quot;/&gt;&lt;wsp:rsid wsp:val=&quot;007F2445&quot;/&gt;&lt;wsp:rsid wsp:val=&quot;007F316D&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1446D&quot;/&gt;&lt;wsp:rsid wsp:val=&quot;00814699&quot;/&gt;&lt;wsp:rsid wsp:val=&quot;00817743&quot;/&gt;&lt;wsp:rsid wsp:val=&quot;00821556&quot;/&gt;&lt;wsp:rsid wsp:val=&quot;00821F2C&quot;/&gt;&lt;wsp:rsid wsp:val=&quot;008220C7&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1E28&quot;/&gt;&lt;wsp:rsid wsp:val=&quot;00842BFB&quot;/&gt;&lt;wsp:rsid wsp:val=&quot;00847786&quot;/&gt;&lt;wsp:rsid wsp:val=&quot;0085048F&quot;/&gt;&lt;wsp:rsid wsp:val=&quot;00853901&quot;/&gt;&lt;wsp:rsid wsp:val=&quot;00853E28&quot;/&gt;&lt;wsp:rsid wsp:val=&quot;008543CB&quot;/&gt;&lt;wsp:rsid wsp:val=&quot;00854556&quot;/&gt;&lt;wsp:rsid wsp:val=&quot;00854AFF&quot;/&gt;&lt;wsp:rsid wsp:val=&quot;00855E7E&quot;/&gt;&lt;wsp:rsid wsp:val=&quot;0085677D&quot;/&gt;&lt;wsp:rsid wsp:val=&quot;008609BD&quot;/&gt;&lt;wsp:rsid wsp:val=&quot;0086247A&quot;/&gt;&lt;wsp:rsid wsp:val=&quot;008626F6&quot;/&gt;&lt;wsp:rsid wsp:val=&quot;00864E0E&quot;/&gt;&lt;wsp:rsid wsp:val=&quot;008677F8&quot;/&gt;&lt;wsp:rsid wsp:val=&quot;00867EC2&quot;/&gt;&lt;wsp:rsid wsp:val=&quot;00870E43&quot;/&gt;&lt;wsp:rsid wsp:val=&quot;008723F6&quot;/&gt;&lt;wsp:rsid wsp:val=&quot;0087282C&quot;/&gt;&lt;wsp:rsid wsp:val=&quot;00872B47&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1B8E&quot;/&gt;&lt;wsp:rsid wsp:val=&quot;00882022&quot;/&gt;&lt;wsp:rsid wsp:val=&quot;008844F1&quot;/&gt;&lt;wsp:rsid wsp:val=&quot;00884ADD&quot;/&gt;&lt;wsp:rsid wsp:val=&quot;0088611D&quot;/&gt;&lt;wsp:rsid wsp:val=&quot;00886256&quot;/&gt;&lt;wsp:rsid wsp:val=&quot;00890A01&quot;/&gt;&lt;wsp:rsid wsp:val=&quot;00891CC4&quot;/&gt;&lt;wsp:rsid wsp:val=&quot;00896910&quot;/&gt;&lt;wsp:rsid wsp:val=&quot;00896BCB&quot;/&gt;&lt;wsp:rsid wsp:val=&quot;0089715E&quot;/&gt;&lt;wsp:rsid wsp:val=&quot;00897954&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362C&quot;/&gt;&lt;wsp:rsid wsp:val=&quot;00904C0E&quot;/&gt;&lt;wsp:rsid wsp:val=&quot;0090517A&quot;/&gt;&lt;wsp:rsid wsp:val=&quot;0090650B&quot;/&gt;&lt;wsp:rsid wsp:val=&quot;009075A4&quot;/&gt;&lt;wsp:rsid wsp:val=&quot;00907C38&quot;/&gt;&lt;wsp:rsid wsp:val=&quot;00910330&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5F67&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5&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0BA&quot;/&gt;&lt;wsp:rsid wsp:val=&quot;00952BD8&quot;/&gt;&lt;wsp:rsid wsp:val=&quot;00953883&quot;/&gt;&lt;wsp:rsid wsp:val=&quot;00953FB6&quot;/&gt;&lt;wsp:rsid wsp:val=&quot;00954DFA&quot;/&gt;&lt;wsp:rsid wsp:val=&quot;00954ED7&quot;/&gt;&lt;wsp:rsid wsp:val=&quot;009559A2&quot;/&gt;&lt;wsp:rsid wsp:val=&quot;009571B9&quot;/&gt;&lt;wsp:rsid wsp:val=&quot;00957FBE&quot;/&gt;&lt;wsp:rsid wsp:val=&quot;00960060&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1E03&quot;/&gt;&lt;wsp:rsid wsp:val=&quot;00973F28&quot;/&gt;&lt;wsp:rsid wsp:val=&quot;00973FA2&quot;/&gt;&lt;wsp:rsid wsp:val=&quot;00974866&quot;/&gt;&lt;wsp:rsid wsp:val=&quot;009762CD&quot;/&gt;&lt;wsp:rsid wsp:val=&quot;00980491&quot;/&gt;&lt;wsp:rsid wsp:val=&quot;009808F5&quot;/&gt;&lt;wsp:rsid wsp:val=&quot;00981D9F&quot;/&gt;&lt;wsp:rsid wsp:val=&quot;00982DA0&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1F5E&quot;/&gt;&lt;wsp:rsid wsp:val=&quot;009D25E3&quot;/&gt;&lt;wsp:rsid wsp:val=&quot;009D49BC&quot;/&gt;&lt;wsp:rsid wsp:val=&quot;009D6963&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1151&quot;/&gt;&lt;wsp:rsid wsp:val=&quot;009F46E3&quot;/&gt;&lt;wsp:rsid wsp:val=&quot;009F4830&quot;/&gt;&lt;wsp:rsid wsp:val=&quot;009F69FB&quot;/&gt;&lt;wsp:rsid wsp:val=&quot;00A0110D&quot;/&gt;&lt;wsp:rsid wsp:val=&quot;00A04FA4&quot;/&gt;&lt;wsp:rsid wsp:val=&quot;00A07D2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2CC3&quot;/&gt;&lt;wsp:rsid wsp:val=&quot;00A63863&quot;/&gt;&lt;wsp:rsid wsp:val=&quot;00A64301&quot;/&gt;&lt;wsp:rsid wsp:val=&quot;00A667FD&quot;/&gt;&lt;wsp:rsid wsp:val=&quot;00A71167&quot;/&gt;&lt;wsp:rsid wsp:val=&quot;00A71D04&quot;/&gt;&lt;wsp:rsid wsp:val=&quot;00A72D98&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1ED3&quot;/&gt;&lt;wsp:rsid wsp:val=&quot;00A924D1&quot;/&gt;&lt;wsp:rsid wsp:val=&quot;00A95126&quot;/&gt;&lt;wsp:rsid wsp:val=&quot;00A9661B&quot;/&gt;&lt;wsp:rsid wsp:val=&quot;00AA09D7&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6A75&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1FD&quot;/&gt;&lt;wsp:rsid wsp:val=&quot;00B027F4&quot;/&gt;&lt;wsp:rsid wsp:val=&quot;00B02CFA&quot;/&gt;&lt;wsp:rsid wsp:val=&quot;00B04276&quot;/&gt;&lt;wsp:rsid wsp:val=&quot;00B042C3&quot;/&gt;&lt;wsp:rsid wsp:val=&quot;00B047FB&quot;/&gt;&lt;wsp:rsid wsp:val=&quot;00B057B7&quot;/&gt;&lt;wsp:rsid wsp:val=&quot;00B13627&quot;/&gt;&lt;wsp:rsid wsp:val=&quot;00B13801&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36AC4&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2BC&quot;/&gt;&lt;wsp:rsid wsp:val=&quot;00B51372&quot;/&gt;&lt;wsp:rsid wsp:val=&quot;00B51987&quot;/&gt;&lt;wsp:rsid wsp:val=&quot;00B519BD&quot;/&gt;&lt;wsp:rsid wsp:val=&quot;00B52708&quot;/&gt;&lt;wsp:rsid wsp:val=&quot;00B529BC&quot;/&gt;&lt;wsp:rsid wsp:val=&quot;00B52B32&quot;/&gt;&lt;wsp:rsid wsp:val=&quot;00B54F4D&quot;/&gt;&lt;wsp:rsid wsp:val=&quot;00B55528&quot;/&gt;&lt;wsp:rsid wsp:val=&quot;00B55621&quot;/&gt;&lt;wsp:rsid wsp:val=&quot;00B55DB1&quot;/&gt;&lt;wsp:rsid wsp:val=&quot;00B56F1C&quot;/&gt;&lt;wsp:rsid wsp:val=&quot;00B601DC&quot;/&gt;&lt;wsp:rsid wsp:val=&quot;00B616D7&quot;/&gt;&lt;wsp:rsid wsp:val=&quot;00B631FD&quot;/&gt;&lt;wsp:rsid wsp:val=&quot;00B63624&quot;/&gt;&lt;wsp:rsid wsp:val=&quot;00B639F2&quot;/&gt;&lt;wsp:rsid wsp:val=&quot;00B640E8&quot;/&gt;&lt;wsp:rsid wsp:val=&quot;00B65473&quot;/&gt;&lt;wsp:rsid wsp:val=&quot;00B66FDF&quot;/&gt;&lt;wsp:rsid wsp:val=&quot;00B70F7C&quot;/&gt;&lt;wsp:rsid wsp:val=&quot;00B7219D&quot;/&gt;&lt;wsp:rsid wsp:val=&quot;00B727C9&quot;/&gt;&lt;wsp:rsid wsp:val=&quot;00B74008&quot;/&gt;&lt;wsp:rsid wsp:val=&quot;00B747D3&quot;/&gt;&lt;wsp:rsid wsp:val=&quot;00B75DE1&quot;/&gt;&lt;wsp:rsid wsp:val=&quot;00B80F17&quot;/&gt;&lt;wsp:rsid wsp:val=&quot;00B86333&quot;/&gt;&lt;wsp:rsid wsp:val=&quot;00B906C7&quot;/&gt;&lt;wsp:rsid wsp:val=&quot;00B94A19&quot;/&gt;&lt;wsp:rsid wsp:val=&quot;00B964BE&quot;/&gt;&lt;wsp:rsid wsp:val=&quot;00B976A8&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41E0&quot;/&gt;&lt;wsp:rsid wsp:val=&quot;00BB52CF&quot;/&gt;&lt;wsp:rsid wsp:val=&quot;00BB5369&quot;/&gt;&lt;wsp:rsid wsp:val=&quot;00BB56DE&quot;/&gt;&lt;wsp:rsid wsp:val=&quot;00BC0B79&quot;/&gt;&lt;wsp:rsid wsp:val=&quot;00BC0C1F&quot;/&gt;&lt;wsp:rsid wsp:val=&quot;00BC2941&quot;/&gt;&lt;wsp:rsid wsp:val=&quot;00BC29C2&quot;/&gt;&lt;wsp:rsid wsp:val=&quot;00BC370E&quot;/&gt;&lt;wsp:rsid wsp:val=&quot;00BC3D43&quot;/&gt;&lt;wsp:rsid wsp:val=&quot;00BC7386&quot;/&gt;&lt;wsp:rsid wsp:val=&quot;00BC75B5&quot;/&gt;&lt;wsp:rsid wsp:val=&quot;00BD10D2&quot;/&gt;&lt;wsp:rsid wsp:val=&quot;00BD114B&quot;/&gt;&lt;wsp:rsid wsp:val=&quot;00BD4762&quot;/&gt;&lt;wsp:rsid wsp:val=&quot;00BD491D&quot;/&gt;&lt;wsp:rsid wsp:val=&quot;00BD4FA9&quot;/&gt;&lt;wsp:rsid wsp:val=&quot;00BD5E6D&quot;/&gt;&lt;wsp:rsid wsp:val=&quot;00BD604C&quot;/&gt;&lt;wsp:rsid wsp:val=&quot;00BE3B07&quot;/&gt;&lt;wsp:rsid wsp:val=&quot;00BE6024&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02E&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2F22&quot;/&gt;&lt;wsp:rsid wsp:val=&quot;00C26E62&quot;/&gt;&lt;wsp:rsid wsp:val=&quot;00C2739B&quot;/&gt;&lt;wsp:rsid wsp:val=&quot;00C30853&quot;/&gt;&lt;wsp:rsid wsp:val=&quot;00C31265&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8D3&quot;/&gt;&lt;wsp:rsid wsp:val=&quot;00C55F50&quot;/&gt;&lt;wsp:rsid wsp:val=&quot;00C569AB&quot;/&gt;&lt;wsp:rsid wsp:val=&quot;00C569CC&quot;/&gt;&lt;wsp:rsid wsp:val=&quot;00C57ACC&quot;/&gt;&lt;wsp:rsid wsp:val=&quot;00C62130&quot;/&gt;&lt;wsp:rsid wsp:val=&quot;00C6529A&quot;/&gt;&lt;wsp:rsid wsp:val=&quot;00C70079&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16CA&quot;/&gt;&lt;wsp:rsid wsp:val=&quot;00C84ACC&quot;/&gt;&lt;wsp:rsid wsp:val=&quot;00C84B47&quot;/&gt;&lt;wsp:rsid wsp:val=&quot;00C85321&quot;/&gt;&lt;wsp:rsid wsp:val=&quot;00C86B16&quot;/&gt;&lt;wsp:rsid wsp:val=&quot;00C878E9&quot;/&gt;&lt;wsp:rsid wsp:val=&quot;00C91D1C&quot;/&gt;&lt;wsp:rsid wsp:val=&quot;00C941C9&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D7CC4&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8B1&quot;/&gt;&lt;wsp:rsid wsp:val=&quot;00D16974&quot;/&gt;&lt;wsp:rsid wsp:val=&quot;00D20BAF&quot;/&gt;&lt;wsp:rsid wsp:val=&quot;00D20F88&quot;/&gt;&lt;wsp:rsid wsp:val=&quot;00D21238&quot;/&gt;&lt;wsp:rsid wsp:val=&quot;00D21BF2&quot;/&gt;&lt;wsp:rsid wsp:val=&quot;00D24512&quot;/&gt;&lt;wsp:rsid wsp:val=&quot;00D25D15&quot;/&gt;&lt;wsp:rsid wsp:val=&quot;00D26D98&quot;/&gt;&lt;wsp:rsid wsp:val=&quot;00D3374A&quot;/&gt;&lt;wsp:rsid wsp:val=&quot;00D34E06&quot;/&gt;&lt;wsp:rsid wsp:val=&quot;00D3600E&quot;/&gt;&lt;wsp:rsid wsp:val=&quot;00D4033B&quot;/&gt;&lt;wsp:rsid wsp:val=&quot;00D40A92&quot;/&gt;&lt;wsp:rsid wsp:val=&quot;00D4230C&quot;/&gt;&lt;wsp:rsid wsp:val=&quot;00D4263C&quot;/&gt;&lt;wsp:rsid wsp:val=&quot;00D43594&quot;/&gt;&lt;wsp:rsid wsp:val=&quot;00D43CBF&quot;/&gt;&lt;wsp:rsid wsp:val=&quot;00D44D53&quot;/&gt;&lt;wsp:rsid wsp:val=&quot;00D464A2&quot;/&gt;&lt;wsp:rsid wsp:val=&quot;00D506D0&quot;/&gt;&lt;wsp:rsid wsp:val=&quot;00D50E15&quot;/&gt;&lt;wsp:rsid wsp:val=&quot;00D51795&quot;/&gt;&lt;wsp:rsid wsp:val=&quot;00D52A83&quot;/&gt;&lt;wsp:rsid wsp:val=&quot;00D5616D&quot;/&gt;&lt;wsp:rsid wsp:val=&quot;00D5711F&quot;/&gt;&lt;wsp:rsid wsp:val=&quot;00D6167F&quot;/&gt;&lt;wsp:rsid wsp:val=&quot;00D616F1&quot;/&gt;&lt;wsp:rsid wsp:val=&quot;00D63474&quot;/&gt;&lt;wsp:rsid wsp:val=&quot;00D63714&quot;/&gt;&lt;wsp:rsid wsp:val=&quot;00D6383D&quot;/&gt;&lt;wsp:rsid wsp:val=&quot;00D63AFC&quot;/&gt;&lt;wsp:rsid wsp:val=&quot;00D64B68&quot;/&gt;&lt;wsp:rsid wsp:val=&quot;00D66373&quot;/&gt;&lt;wsp:rsid wsp:val=&quot;00D66C53&quot;/&gt;&lt;wsp:rsid wsp:val=&quot;00D6781B&quot;/&gt;&lt;wsp:rsid wsp:val=&quot;00D67BE8&quot;/&gt;&lt;wsp:rsid wsp:val=&quot;00D701C3&quot;/&gt;&lt;wsp:rsid wsp:val=&quot;00D72213&quot;/&gt;&lt;wsp:rsid wsp:val=&quot;00D76391&quot;/&gt;&lt;wsp:rsid wsp:val=&quot;00D76736&quot;/&gt;&lt;wsp:rsid wsp:val=&quot;00D81D6F&quot;/&gt;&lt;wsp:rsid wsp:val=&quot;00D8292D&quot;/&gt;&lt;wsp:rsid wsp:val=&quot;00D82F01&quot;/&gt;&lt;wsp:rsid wsp:val=&quot;00D82F8E&quot;/&gt;&lt;wsp:rsid wsp:val=&quot;00D85299&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686F&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03FD&quot;/&gt;&lt;wsp:rsid wsp:val=&quot;00DB156D&quot;/&gt;&lt;wsp:rsid wsp:val=&quot;00DB17FD&quot;/&gt;&lt;wsp:rsid wsp:val=&quot;00DB25C9&quot;/&gt;&lt;wsp:rsid wsp:val=&quot;00DB2887&quot;/&gt;&lt;wsp:rsid wsp:val=&quot;00DB3AC5&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0B43&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3C9&quot;/&gt;&lt;wsp:rsid wsp:val=&quot;00DE144D&quot;/&gt;&lt;wsp:rsid wsp:val=&quot;00DE15ED&quot;/&gt;&lt;wsp:rsid wsp:val=&quot;00DE1739&quot;/&gt;&lt;wsp:rsid wsp:val=&quot;00DE6C95&quot;/&gt;&lt;wsp:rsid wsp:val=&quot;00DF0111&quot;/&gt;&lt;wsp:rsid wsp:val=&quot;00DF5416&quot;/&gt;&lt;wsp:rsid wsp:val=&quot;00E00053&quot;/&gt;&lt;wsp:rsid wsp:val=&quot;00E00BB2&quot;/&gt;&lt;wsp:rsid wsp:val=&quot;00E021E5&quot;/&gt;&lt;wsp:rsid wsp:val=&quot;00E02359&quot;/&gt;&lt;wsp:rsid wsp:val=&quot;00E03022&quot;/&gt;&lt;wsp:rsid wsp:val=&quot;00E04707&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1FD9&quot;/&gt;&lt;wsp:rsid wsp:val=&quot;00E22104&quot;/&gt;&lt;wsp:rsid wsp:val=&quot;00E24A3F&quot;/&gt;&lt;wsp:rsid wsp:val=&quot;00E25D1D&quot;/&gt;&lt;wsp:rsid wsp:val=&quot;00E2627F&quot;/&gt;&lt;wsp:rsid wsp:val=&quot;00E26964&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483&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A5&quot;/&gt;&lt;wsp:rsid wsp:val=&quot;00E730D0&quot;/&gt;&lt;wsp:rsid wsp:val=&quot;00E74753&quot;/&gt;&lt;wsp:rsid wsp:val=&quot;00E7512C&quot;/&gt;&lt;wsp:rsid wsp:val=&quot;00E75737&quot;/&gt;&lt;wsp:rsid wsp:val=&quot;00E75E82&quot;/&gt;&lt;wsp:rsid wsp:val=&quot;00E7769E&quot;/&gt;&lt;wsp:rsid wsp:val=&quot;00E81458&quot;/&gt;&lt;wsp:rsid wsp:val=&quot;00E8276B&quot;/&gt;&lt;wsp:rsid wsp:val=&quot;00E828C3&quot;/&gt;&lt;wsp:rsid wsp:val=&quot;00E83543&quot;/&gt;&lt;wsp:rsid wsp:val=&quot;00E83CC5&quot;/&gt;&lt;wsp:rsid wsp:val=&quot;00E840A5&quot;/&gt;&lt;wsp:rsid wsp:val=&quot;00E85A53&quot;/&gt;&lt;wsp:rsid wsp:val=&quot;00E87AB9&quot;/&gt;&lt;wsp:rsid wsp:val=&quot;00E90CED&quot;/&gt;&lt;wsp:rsid wsp:val=&quot;00E91816&quot;/&gt;&lt;wsp:rsid wsp:val=&quot;00E94D93&quot;/&gt;&lt;wsp:rsid wsp:val=&quot;00E95A5C&quot;/&gt;&lt;wsp:rsid wsp:val=&quot;00E95F0A&quot;/&gt;&lt;wsp:rsid wsp:val=&quot;00E968DC&quot;/&gt;&lt;wsp:rsid wsp:val=&quot;00E97987&quot;/&gt;&lt;wsp:rsid wsp:val=&quot;00EA0D4F&quot;/&gt;&lt;wsp:rsid wsp:val=&quot;00EA1EF6&quot;/&gt;&lt;wsp:rsid wsp:val=&quot;00EA20AC&quot;/&gt;&lt;wsp:rsid wsp:val=&quot;00EA21B3&quot;/&gt;&lt;wsp:rsid wsp:val=&quot;00EA235C&quot;/&gt;&lt;wsp:rsid wsp:val=&quot;00EA3085&quot;/&gt;&lt;wsp:rsid wsp:val=&quot;00EA78CB&quot;/&gt;&lt;wsp:rsid wsp:val=&quot;00EA7990&quot;/&gt;&lt;wsp:rsid wsp:val=&quot;00EB0E0F&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B17&quot;/&gt;&lt;wsp:rsid wsp:val=&quot;00EE1DB6&quot;/&gt;&lt;wsp:rsid wsp:val=&quot;00EE5BF5&quot;/&gt;&lt;wsp:rsid wsp:val=&quot;00EE700F&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771&quot;/&gt;&lt;wsp:rsid wsp:val=&quot;00F00BDB&quot;/&gt;&lt;wsp:rsid wsp:val=&quot;00F053A6&quot;/&gt;&lt;wsp:rsid wsp:val=&quot;00F07602&quot;/&gt;&lt;wsp:rsid wsp:val=&quot;00F07B8D&quot;/&gt;&lt;wsp:rsid wsp:val=&quot;00F07D58&quot;/&gt;&lt;wsp:rsid wsp:val=&quot;00F1076C&quot;/&gt;&lt;wsp:rsid wsp:val=&quot;00F10F06&quot;/&gt;&lt;wsp:rsid wsp:val=&quot;00F1304F&quot;/&gt;&lt;wsp:rsid wsp:val=&quot;00F13A18&quot;/&gt;&lt;wsp:rsid wsp:val=&quot;00F1518F&quot;/&gt;&lt;wsp:rsid wsp:val=&quot;00F15389&quot;/&gt;&lt;wsp:rsid wsp:val=&quot;00F1599E&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286F&quot;/&gt;&lt;wsp:rsid wsp:val=&quot;00F33DA4&quot;/&gt;&lt;wsp:rsid wsp:val=&quot;00F353C6&quot;/&gt;&lt;wsp:rsid wsp:val=&quot;00F36949&quot;/&gt;&lt;wsp:rsid wsp:val=&quot;00F36C74&quot;/&gt;&lt;wsp:rsid wsp:val=&quot;00F37644&quot;/&gt;&lt;wsp:rsid wsp:val=&quot;00F44456&quot;/&gt;&lt;wsp:rsid wsp:val=&quot;00F44AAD&quot;/&gt;&lt;wsp:rsid wsp:val=&quot;00F44ADB&quot;/&gt;&lt;wsp:rsid wsp:val=&quot;00F45D8C&quot;/&gt;&lt;wsp:rsid wsp:val=&quot;00F460E7&quot;/&gt;&lt;wsp:rsid wsp:val=&quot;00F5134E&quot;/&gt;&lt;wsp:rsid wsp:val=&quot;00F52B54&quot;/&gt;&lt;wsp:rsid wsp:val=&quot;00F541CD&quot;/&gt;&lt;wsp:rsid wsp:val=&quot;00F609A6&quot;/&gt;&lt;wsp:rsid wsp:val=&quot;00F61405&quot;/&gt;&lt;wsp:rsid wsp:val=&quot;00F61573&quot;/&gt;&lt;wsp:rsid wsp:val=&quot;00F632C7&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4E42&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3D51&quot;/&gt;&lt;wsp:rsid wsp:val=&quot;00FA4646&quot;/&gt;&lt;wsp:rsid wsp:val=&quot;00FA6DD9&quot;/&gt;&lt;wsp:rsid wsp:val=&quot;00FA7C6E&quot;/&gt;&lt;wsp:rsid wsp:val=&quot;00FB02B8&quot;/&gt;&lt;wsp:rsid wsp:val=&quot;00FB0F0E&quot;/&gt;&lt;wsp:rsid wsp:val=&quot;00FB1E36&quot;/&gt;&lt;wsp:rsid wsp:val=&quot;00FB3721&quot;/&gt;&lt;wsp:rsid wsp:val=&quot;00FC0112&quot;/&gt;&lt;wsp:rsid wsp:val=&quot;00FC2435&quot;/&gt;&lt;wsp:rsid wsp:val=&quot;00FC2853&quot;/&gt;&lt;wsp:rsid wsp:val=&quot;00FC2A3B&quot;/&gt;&lt;wsp:rsid wsp:val=&quot;00FC56EC&quot;/&gt;&lt;wsp:rsid wsp:val=&quot;00FC5F97&quot;/&gt;&lt;wsp:rsid wsp:val=&quot;00FC5FCE&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 wsp:val=&quot;01913EE5&quot;/&gt;&lt;wsp:rsid wsp:val=&quot;028F592D&quot;/&gt;&lt;wsp:rsid wsp:val=&quot;03442226&quot;/&gt;&lt;wsp:rsid wsp:val=&quot;03653EFA&quot;/&gt;&lt;wsp:rsid wsp:val=&quot;041A1B6C&quot;/&gt;&lt;wsp:rsid wsp:val=&quot;05076F73&quot;/&gt;&lt;wsp:rsid wsp:val=&quot;069D413E&quot;/&gt;&lt;wsp:rsid wsp:val=&quot;0AED07E6&quot;/&gt;&lt;wsp:rsid wsp:val=&quot;0C5000D6&quot;/&gt;&lt;wsp:rsid wsp:val=&quot;0D5027DF&quot;/&gt;&lt;wsp:rsid wsp:val=&quot;0DAA3665&quot;/&gt;&lt;wsp:rsid wsp:val=&quot;0F522479&quot;/&gt;&lt;wsp:rsid wsp:val=&quot;0F964C30&quot;/&gt;&lt;wsp:rsid wsp:val=&quot;10954101&quot;/&gt;&lt;wsp:rsid wsp:val=&quot;129670E6&quot;/&gt;&lt;wsp:rsid wsp:val=&quot;13535C1D&quot;/&gt;&lt;wsp:rsid wsp:val=&quot;13B00235&quot;/&gt;&lt;wsp:rsid wsp:val=&quot;142D3110&quot;/&gt;&lt;wsp:rsid wsp:val=&quot;147D7105&quot;/&gt;&lt;wsp:rsid wsp:val=&quot;15505755&quot;/&gt;&lt;wsp:rsid wsp:val=&quot;162D6DFB&quot;/&gt;&lt;wsp:rsid wsp:val=&quot;16A6727C&quot;/&gt;&lt;wsp:rsid wsp:val=&quot;176F31FD&quot;/&gt;&lt;wsp:rsid wsp:val=&quot;1AE579CF&quot;/&gt;&lt;wsp:rsid wsp:val=&quot;1B7B1F7C&quot;/&gt;&lt;wsp:rsid wsp:val=&quot;1BDF4200&quot;/&gt;&lt;wsp:rsid wsp:val=&quot;1C461BF2&quot;/&gt;&lt;wsp:rsid wsp:val=&quot;1CBE498C&quot;/&gt;&lt;wsp:rsid wsp:val=&quot;1F633C25&quot;/&gt;&lt;wsp:rsid wsp:val=&quot;1FE525D4&quot;/&gt;&lt;wsp:rsid wsp:val=&quot;21962554&quot;/&gt;&lt;wsp:rsid wsp:val=&quot;21AB295D&quot;/&gt;&lt;wsp:rsid wsp:val=&quot;21E62F9A&quot;/&gt;&lt;wsp:rsid wsp:val=&quot;23FC2058&quot;/&gt;&lt;wsp:rsid wsp:val=&quot;24083460&quot;/&gt;&lt;wsp:rsid wsp:val=&quot;240C1A97&quot;/&gt;&lt;wsp:rsid wsp:val=&quot;24402A29&quot;/&gt;&lt;wsp:rsid wsp:val=&quot;24EF1192&quot;/&gt;&lt;wsp:rsid wsp:val=&quot;26B54D1B&quot;/&gt;&lt;wsp:rsid wsp:val=&quot;27504F53&quot;/&gt;&lt;wsp:rsid wsp:val=&quot;27EC0D41&quot;/&gt;&lt;wsp:rsid wsp:val=&quot;288C7A13&quot;/&gt;&lt;wsp:rsid wsp:val=&quot;29280A4A&quot;/&gt;&lt;wsp:rsid wsp:val=&quot;2A242902&quot;/&gt;&lt;wsp:rsid wsp:val=&quot;2B0F5A52&quot;/&gt;&lt;wsp:rsid wsp:val=&quot;2BA210C8&quot;/&gt;&lt;wsp:rsid wsp:val=&quot;2C322210&quot;/&gt;&lt;wsp:rsid wsp:val=&quot;2C880EAC&quot;/&gt;&lt;wsp:rsid wsp:val=&quot;2D0B45D8&quot;/&gt;&lt;wsp:rsid wsp:val=&quot;2D7A5F58&quot;/&gt;&lt;wsp:rsid wsp:val=&quot;2DE5090C&quot;/&gt;&lt;wsp:rsid wsp:val=&quot;2F245151&quot;/&gt;&lt;wsp:rsid wsp:val=&quot;2F9C50D7&quot;/&gt;&lt;wsp:rsid wsp:val=&quot;31CE7C91&quot;/&gt;&lt;wsp:rsid wsp:val=&quot;3337290D&quot;/&gt;&lt;wsp:rsid wsp:val=&quot;36284D13&quot;/&gt;&lt;wsp:rsid wsp:val=&quot;3894435E&quot;/&gt;&lt;wsp:rsid wsp:val=&quot;39093C9F&quot;/&gt;&lt;wsp:rsid wsp:val=&quot;3A3141FD&quot;/&gt;&lt;wsp:rsid wsp:val=&quot;3A4F2B98&quot;/&gt;&lt;wsp:rsid wsp:val=&quot;3ADB3587&quot;/&gt;&lt;wsp:rsid wsp:val=&quot;3B7A0243&quot;/&gt;&lt;wsp:rsid wsp:val=&quot;3D3B012F&quot;/&gt;&lt;wsp:rsid wsp:val=&quot;3F946430&quot;/&gt;&lt;wsp:rsid wsp:val=&quot;414D6E8F&quot;/&gt;&lt;wsp:rsid wsp:val=&quot;44C457EC&quot;/&gt;&lt;wsp:rsid wsp:val=&quot;453D5151&quot;/&gt;&lt;wsp:rsid wsp:val=&quot;46087ED9&quot;/&gt;&lt;wsp:rsid wsp:val=&quot;464F3E74&quot;/&gt;&lt;wsp:rsid wsp:val=&quot;47B7007B&quot;/&gt;&lt;wsp:rsid wsp:val=&quot;4AF34469&quot;/&gt;&lt;wsp:rsid wsp:val=&quot;4DC67269&quot;/&gt;&lt;wsp:rsid wsp:val=&quot;4EB12B06&quot;/&gt;&lt;wsp:rsid wsp:val=&quot;500669FA&quot;/&gt;&lt;wsp:rsid wsp:val=&quot;50780669&quot;/&gt;&lt;wsp:rsid wsp:val=&quot;510F2B1C&quot;/&gt;&lt;wsp:rsid wsp:val=&quot;531F30EF&quot;/&gt;&lt;wsp:rsid wsp:val=&quot;53FC68EC&quot;/&gt;&lt;wsp:rsid wsp:val=&quot;55C31C18&quot;/&gt;&lt;wsp:rsid wsp:val=&quot;563802EA&quot;/&gt;&lt;wsp:rsid wsp:val=&quot;56DC4230&quot;/&gt;&lt;wsp:rsid wsp:val=&quot;57504909&quot;/&gt;&lt;wsp:rsid wsp:val=&quot;583E2C99&quot;/&gt;&lt;wsp:rsid wsp:val=&quot;59801151&quot;/&gt;&lt;wsp:rsid wsp:val=&quot;5DF259C4&quot;/&gt;&lt;wsp:rsid wsp:val=&quot;60B62CF0&quot;/&gt;&lt;wsp:rsid wsp:val=&quot;64894531&quot;/&gt;&lt;wsp:rsid wsp:val=&quot;65185966&quot;/&gt;&lt;wsp:rsid wsp:val=&quot;651B6D5B&quot;/&gt;&lt;wsp:rsid wsp:val=&quot;655E3BFF&quot;/&gt;&lt;wsp:rsid wsp:val=&quot;65D861FB&quot;/&gt;&lt;wsp:rsid wsp:val=&quot;66874C3F&quot;/&gt;&lt;wsp:rsid wsp:val=&quot;66B83AD3&quot;/&gt;&lt;wsp:rsid wsp:val=&quot;67297020&quot;/&gt;&lt;wsp:rsid wsp:val=&quot;67C878B1&quot;/&gt;&lt;wsp:rsid wsp:val=&quot;68856D5A&quot;/&gt;&lt;wsp:rsid wsp:val=&quot;69E43F64&quot;/&gt;&lt;wsp:rsid wsp:val=&quot;6A4F07BF&quot;/&gt;&lt;wsp:rsid wsp:val=&quot;6AE00E93&quot;/&gt;&lt;wsp:rsid wsp:val=&quot;6B6272BA&quot;/&gt;&lt;wsp:rsid wsp:val=&quot;6D5814A1&quot;/&gt;&lt;wsp:rsid wsp:val=&quot;6EC31DA1&quot;/&gt;&lt;wsp:rsid wsp:val=&quot;6F0179C4&quot;/&gt;&lt;wsp:rsid wsp:val=&quot;71D35B1D&quot;/&gt;&lt;wsp:rsid wsp:val=&quot;73A2363E&quot;/&gt;&lt;wsp:rsid wsp:val=&quot;73BA76AB&quot;/&gt;&lt;wsp:rsid wsp:val=&quot;74864E1F&quot;/&gt;&lt;wsp:rsid wsp:val=&quot;75E507FE&quot;/&gt;&lt;wsp:rsid wsp:val=&quot;762A50E3&quot;/&gt;&lt;wsp:rsid wsp:val=&quot;76832D14&quot;/&gt;&lt;wsp:rsid wsp:val=&quot;770120C4&quot;/&gt;&lt;wsp:rsid wsp:val=&quot;792621D5&quot;/&gt;&lt;wsp:rsid wsp:val=&quot;79CF15E2&quot;/&gt;&lt;wsp:rsid wsp:val=&quot;7B1A1859&quot;/&gt;&lt;wsp:rsid wsp:val=&quot;7D934810&quot;/&gt;&lt;wsp:rsid wsp:val=&quot;7D98132E&quot;/&gt;&lt;wsp:rsid wsp:val=&quot;7DBB021F&quot;/&gt;&lt;wsp:rsid wsp:val=&quot;7E502455&quot;/&gt;&lt;wsp:rsid wsp:val=&quot;7E6B465F&quot;/&gt;&lt;wsp:rsid wsp:val=&quot;7FF4188E&quot;/&gt;&lt;/wsp:rsids&gt;&lt;/w:docPr&gt;&lt;w:body&gt;&lt;wx:sect&gt;&lt;w:p wsp:rsidR=&quot;00000000&quot; wsp:rsidRDefault=&quot;00002AED&quot; wsp:rsidP=&quot;00002AED&quot;&gt;&lt;m:oMathPara&gt;&lt;m:oMath&gt;&lt;m:sSubSup&gt;&lt;m:sSubSupPr&gt;&lt;m:ctrlPr&gt;&lt;w:rPr&gt;&lt;w:rFonts w:ascii=&quot;Cambria Math&quot; w:h-ansi=&quot;Cambria Math&quot;/&gt;&lt;wx:font wx:val=&quot;Cambria Math&quot;/&gt;&lt;w:b-cs/&gt;&lt;w:i/&gt;&lt;w:sz-cs w:val=&quot;20&quot;/&gt;&lt;w:lang w:fareast=&quot;KO&quot;/&gt;&lt;/w:rPr&gt;&lt;/m:ctrlPr&gt;&lt;/m:sSubSupPr&gt;&lt;m:e&gt;&lt;m:r&gt;&lt;w:rPr&gt;&lt;w:rFonts w:ascii=&quot;Cambria Math&quot; w:h-ansi=&quot;Cambria Math&quot;/&gt;&lt;wx:font wx:val=&quot;Cambria Math&quot;/&gt;&lt;w:i/&gt;&lt;w:sz-cs w:val=&quot;20&quot;/&gt;&lt;w:lang w:fareast=&quot;KO&quot;/&gt;&lt;/w:rPr&gt;&lt;m:t&gt;N&lt;/m:t&gt;&lt;/m:r&gt;&lt;/m:e&gt;&lt;m:sub&gt;&lt;m:r&gt;&lt;m:rPr&gt;&lt;m:nor/&gt;&lt;/m:rPr&gt;&lt;w:rPr&gt;&lt;w:rFonts w:ascii=&quot;Times New Roman&quot; w:h-ansi=&quot;Times New Roman&quot;/&gt;&lt;wx:font wx:val=&quot;Times New Roman&quot;/&gt;&lt;w:b-cs/&gt;&lt;w:i/&gt;&lt;w:sz-cs w:val=&quot;20&quot;/&gt;&lt;w:lang w:fareast=&quot;KO&quot;/&gt;&lt;/w:rPr&gt;&lt;m:t&gt;slot&lt;/m:t&gt;&lt;/m:r&gt;&lt;/m:sub&gt;&lt;m:sup&gt;&lt;m:r&gt;&lt;m:rPr&gt;&lt;m:nor/&gt;&lt;/m:rPr&gt;&lt;w:rPr&gt;&lt;w:rFonts w:ascii=&quot;Times New Roman&quot; w:h-ansi=&quot;Times New Roman&quot;/&gt;&lt;wx:font wx:val=&quot;Times New Roman&quot;/&gt;&lt;w:b-cs/&gt;&lt;w:i/&gt;&lt;w:sz-cs w:val=&quot;20&quot;/&gt;&lt;w:lang w:fareast=&quot;KO&quot;/&gt;&lt;/w:rPr&gt;&lt;m:t&gt;subframe&lt;/m:t&gt;&lt;/m:r&gt;&lt;m:r&gt;&lt;w:rPr&gt;&lt;w:rFonts w:ascii=&quot;Cambria Math&quot; w:h-ansi=&quot;Cambria Math&quot;/&gt;&lt;wx:font wx:val=&quot;Cambria Math&quot;/&gt;&lt;w:i/&gt;&lt;w:sz-cs w:val=&quot;20&quot;/&gt;&lt;w:lang w:fareast=&quot;KO&quot;/&gt;&lt;/w:rPr&gt;&lt;m:t&gt;,μ&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New Roman" w:hAnsi="Times New Roman"/>
                <w:iCs/>
                <w:szCs w:val="20"/>
                <w:lang w:eastAsia="ko-KR"/>
              </w:rPr>
              <w:instrText xml:space="preserve"> </w:instrText>
            </w:r>
            <w:r>
              <w:rPr>
                <w:rFonts w:ascii="Times New Roman" w:hAnsi="Times New Roman"/>
                <w:iCs/>
                <w:szCs w:val="20"/>
                <w:lang w:eastAsia="ko-KR"/>
              </w:rPr>
              <w:fldChar w:fldCharType="separate"/>
            </w:r>
            <w:r>
              <w:rPr>
                <w:rFonts w:hint="eastAsia"/>
                <w:position w:val="-8"/>
              </w:rPr>
              <w:pict>
                <v:shape id="_x0000_i1028" o:spt="75" type="#_x0000_t75" style="height:15pt;width:40.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defaultTabStop w:val=&quot;799&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27A5&quot;/&gt;&lt;wsp:rsid wsp:val=&quot;00002AED&quot;/&gt;&lt;wsp:rsid wsp:val=&quot;000049DC&quot;/&gt;&lt;wsp:rsid wsp:val=&quot;00006115&quot;/&gt;&lt;wsp:rsid wsp:val=&quot;00006E91&quot;/&gt;&lt;wsp:rsid wsp:val=&quot;00013C50&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5694&quot;/&gt;&lt;wsp:rsid wsp:val=&quot;0002646D&quot;/&gt;&lt;wsp:rsid wsp:val=&quot;0002658D&quot;/&gt;&lt;wsp:rsid wsp:val=&quot;00027418&quot;/&gt;&lt;wsp:rsid wsp:val=&quot;00027793&quot;/&gt;&lt;wsp:rsid wsp:val=&quot;00030286&quot;/&gt;&lt;wsp:rsid wsp:val=&quot;000321DC&quot;/&gt;&lt;wsp:rsid wsp:val=&quot;00032D66&quot;/&gt;&lt;wsp:rsid wsp:val=&quot;00034896&quot;/&gt;&lt;wsp:rsid wsp:val=&quot;00034D4D&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1EEE&quot;/&gt;&lt;wsp:rsid wsp:val=&quot;00063AE7&quot;/&gt;&lt;wsp:rsid wsp:val=&quot;00064CDB&quot;/&gt;&lt;wsp:rsid wsp:val=&quot;000666C0&quot;/&gt;&lt;wsp:rsid wsp:val=&quot;00070E52&quot;/&gt;&lt;wsp:rsid wsp:val=&quot;00073A64&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0F2&quot;/&gt;&lt;wsp:rsid wsp:val=&quot;000969AF&quot;/&gt;&lt;wsp:rsid wsp:val=&quot;000A0641&quot;/&gt;&lt;wsp:rsid wsp:val=&quot;000A3922&quot;/&gt;&lt;wsp:rsid wsp:val=&quot;000A57B3&quot;/&gt;&lt;wsp:rsid wsp:val=&quot;000A5EF6&quot;/&gt;&lt;wsp:rsid wsp:val=&quot;000B0DA5&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229&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0F0529&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411F&quot;/&gt;&lt;wsp:rsid wsp:val=&quot;001452E3&quot;/&gt;&lt;wsp:rsid wsp:val=&quot;00145E2B&quot;/&gt;&lt;wsp:rsid wsp:val=&quot;0014603D&quot;/&gt;&lt;wsp:rsid wsp:val=&quot;00146D61&quot;/&gt;&lt;wsp:rsid wsp:val=&quot;001474C4&quot;/&gt;&lt;wsp:rsid wsp:val=&quot;00150C17&quot;/&gt;&lt;wsp:rsid wsp:val=&quot;0015249E&quot;/&gt;&lt;wsp:rsid wsp:val=&quot;00154717&quot;/&gt;&lt;wsp:rsid wsp:val=&quot;00155082&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0489&quot;/&gt;&lt;wsp:rsid wsp:val=&quot;001804F1&quot;/&gt;&lt;wsp:rsid wsp:val=&quot;001810BD&quot;/&gt;&lt;wsp:rsid wsp:val=&quot;00181906&quot;/&gt;&lt;wsp:rsid wsp:val=&quot;00182437&quot;/&gt;&lt;wsp:rsid wsp:val=&quot;00182D68&quot;/&gt;&lt;wsp:rsid wsp:val=&quot;00184862&quot;/&gt;&lt;wsp:rsid wsp:val=&quot;00184D3E&quot;/&gt;&lt;wsp:rsid wsp:val=&quot;00185777&quot;/&gt;&lt;wsp:rsid wsp:val=&quot;00185CFE&quot;/&gt;&lt;wsp:rsid wsp:val=&quot;00186520&quot;/&gt;&lt;wsp:rsid wsp:val=&quot;00191AC9&quot;/&gt;&lt;wsp:rsid wsp:val=&quot;001941E6&quot;/&gt;&lt;wsp:rsid wsp:val=&quot;0019426E&quot;/&gt;&lt;wsp:rsid wsp:val=&quot;00195BCA&quot;/&gt;&lt;wsp:rsid wsp:val=&quot;00197AA5&quot;/&gt;&lt;wsp:rsid wsp:val=&quot;001A0414&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79F&quot;/&gt;&lt;wsp:rsid wsp:val=&quot;001C3FFD&quot;/&gt;&lt;wsp:rsid wsp:val=&quot;001C40D9&quot;/&gt;&lt;wsp:rsid wsp:val=&quot;001C5621&quot;/&gt;&lt;wsp:rsid wsp:val=&quot;001C74BE&quot;/&gt;&lt;wsp:rsid wsp:val=&quot;001C7C35&quot;/&gt;&lt;wsp:rsid wsp:val=&quot;001D0216&quot;/&gt;&lt;wsp:rsid wsp:val=&quot;001D04E7&quot;/&gt;&lt;wsp:rsid wsp:val=&quot;001D150F&quot;/&gt;&lt;wsp:rsid wsp:val=&quot;001D41B7&quot;/&gt;&lt;wsp:rsid wsp:val=&quot;001D52A5&quot;/&gt;&lt;wsp:rsid wsp:val=&quot;001D5746&quot;/&gt;&lt;wsp:rsid wsp:val=&quot;001D6962&quot;/&gt;&lt;wsp:rsid wsp:val=&quot;001D6F38&quot;/&gt;&lt;wsp:rsid wsp:val=&quot;001D7AE8&quot;/&gt;&lt;wsp:rsid wsp:val=&quot;001D7CDA&quot;/&gt;&lt;wsp:rsid wsp:val=&quot;001E3299&quot;/&gt;&lt;wsp:rsid wsp:val=&quot;001E41BC&quot;/&gt;&lt;wsp:rsid wsp:val=&quot;001E4536&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1F3928&quot;/&gt;&lt;wsp:rsid wsp:val=&quot;002004B2&quot;/&gt;&lt;wsp:rsid wsp:val=&quot;00202C71&quot;/&gt;&lt;wsp:rsid wsp:val=&quot;0020564C&quot;/&gt;&lt;wsp:rsid wsp:val=&quot;00206F84&quot;/&gt;&lt;wsp:rsid wsp:val=&quot;00210B7B&quot;/&gt;&lt;wsp:rsid wsp:val=&quot;00211448&quot;/&gt;&lt;wsp:rsid wsp:val=&quot;0021214B&quot;/&gt;&lt;wsp:rsid wsp:val=&quot;00213E6A&quot;/&gt;&lt;wsp:rsid wsp:val=&quot;00214F2A&quot;/&gt;&lt;wsp:rsid wsp:val=&quot;00216804&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0826&quot;/&gt;&lt;wsp:rsid wsp:val=&quot;0025116B&quot;/&gt;&lt;wsp:rsid wsp:val=&quot;00251A50&quot;/&gt;&lt;wsp:rsid wsp:val=&quot;002526D0&quot;/&gt;&lt;wsp:rsid wsp:val=&quot;0025466B&quot;/&gt;&lt;wsp:rsid wsp:val=&quot;00254FA9&quot;/&gt;&lt;wsp:rsid wsp:val=&quot;002556B6&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D9B&quot;/&gt;&lt;wsp:rsid wsp:val=&quot;00282E2C&quot;/&gt;&lt;wsp:rsid wsp:val=&quot;00282FD2&quot;/&gt;&lt;wsp:rsid wsp:val=&quot;00284207&quot;/&gt;&lt;wsp:rsid wsp:val=&quot;00285E3A&quot;/&gt;&lt;wsp:rsid wsp:val=&quot;00286532&quot;/&gt;&lt;wsp:rsid wsp:val=&quot;002912A8&quot;/&gt;&lt;wsp:rsid wsp:val=&quot;00293C36&quot;/&gt;&lt;wsp:rsid wsp:val=&quot;00293DB3&quot;/&gt;&lt;wsp:rsid wsp:val=&quot;0029433B&quot;/&gt;&lt;wsp:rsid wsp:val=&quot;00294EFB&quot;/&gt;&lt;wsp:rsid wsp:val=&quot;0029757E&quot;/&gt;&lt;wsp:rsid wsp:val=&quot;00297DD6&quot;/&gt;&lt;wsp:rsid wsp:val=&quot;00297DED&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6FA4&quot;/&gt;&lt;wsp:rsid wsp:val=&quot;002C7702&quot;/&gt;&lt;wsp:rsid wsp:val=&quot;002D0410&quot;/&gt;&lt;wsp:rsid wsp:val=&quot;002D1A27&quot;/&gt;&lt;wsp:rsid wsp:val=&quot;002D2CF7&quot;/&gt;&lt;wsp:rsid wsp:val=&quot;002D4D40&quot;/&gt;&lt;wsp:rsid wsp:val=&quot;002D5218&quot;/&gt;&lt;wsp:rsid wsp:val=&quot;002D6E7D&quot;/&gt;&lt;wsp:rsid wsp:val=&quot;002E1DF6&quot;/&gt;&lt;wsp:rsid wsp:val=&quot;002E687D&quot;/&gt;&lt;wsp:rsid wsp:val=&quot;002E74B5&quot;/&gt;&lt;wsp:rsid wsp:val=&quot;002F0759&quot;/&gt;&lt;wsp:rsid wsp:val=&quot;002F10CA&quot;/&gt;&lt;wsp:rsid wsp:val=&quot;002F1E2B&quot;/&gt;&lt;wsp:rsid wsp:val=&quot;002F2880&quot;/&gt;&lt;wsp:rsid wsp:val=&quot;002F4411&quot;/&gt;&lt;wsp:rsid wsp:val=&quot;002F5259&quot;/&gt;&lt;wsp:rsid wsp:val=&quot;002F57D7&quot;/&gt;&lt;wsp:rsid wsp:val=&quot;002F64B1&quot;/&gt;&lt;wsp:rsid wsp:val=&quot;002F7271&quot;/&gt;&lt;wsp:rsid wsp:val=&quot;002F739A&quot;/&gt;&lt;wsp:rsid wsp:val=&quot;00302398&quot;/&gt;&lt;wsp:rsid wsp:val=&quot;00304116&quot;/&gt;&lt;wsp:rsid wsp:val=&quot;003043B3&quot;/&gt;&lt;wsp:rsid wsp:val=&quot;0030490C&quot;/&gt;&lt;wsp:rsid wsp:val=&quot;0030546D&quot;/&gt;&lt;wsp:rsid wsp:val=&quot;0031112E&quot;/&gt;&lt;wsp:rsid wsp:val=&quot;00312317&quot;/&gt;&lt;wsp:rsid wsp:val=&quot;00313594&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2362&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434D&quot;/&gt;&lt;wsp:rsid wsp:val=&quot;00374380&quot;/&gt;&lt;wsp:rsid wsp:val=&quot;00374F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3028&quot;/&gt;&lt;wsp:rsid wsp:val=&quot;00394116&quot;/&gt;&lt;wsp:rsid wsp:val=&quot;00394AC8&quot;/&gt;&lt;wsp:rsid wsp:val=&quot;003957ED&quot;/&gt;&lt;wsp:rsid wsp:val=&quot;00397A6D&quot;/&gt;&lt;wsp:rsid wsp:val=&quot;003A135F&quot;/&gt;&lt;wsp:rsid wsp:val=&quot;003A4382&quot;/&gt;&lt;wsp:rsid wsp:val=&quot;003A4607&quot;/&gt;&lt;wsp:rsid wsp:val=&quot;003A72FB&quot;/&gt;&lt;wsp:rsid wsp:val=&quot;003A7CEB&quot;/&gt;&lt;wsp:rsid wsp:val=&quot;003B0BF8&quot;/&gt;&lt;wsp:rsid wsp:val=&quot;003B2B12&quot;/&gt;&lt;wsp:rsid wsp:val=&quot;003B30EF&quot;/&gt;&lt;wsp:rsid wsp:val=&quot;003B3DC0&quot;/&gt;&lt;wsp:rsid wsp:val=&quot;003B6548&quot;/&gt;&lt;wsp:rsid wsp:val=&quot;003B7BF9&quot;/&gt;&lt;wsp:rsid wsp:val=&quot;003C04F9&quot;/&gt;&lt;wsp:rsid wsp:val=&quot;003C1E97&quot;/&gt;&lt;wsp:rsid wsp:val=&quot;003C3033&quot;/&gt;&lt;wsp:rsid wsp:val=&quot;003C4584&quot;/&gt;&lt;wsp:rsid wsp:val=&quot;003C4EAC&quot;/&gt;&lt;wsp:rsid wsp:val=&quot;003C5C06&quot;/&gt;&lt;wsp:rsid wsp:val=&quot;003C6728&quot;/&gt;&lt;wsp:rsid wsp:val=&quot;003D194E&quot;/&gt;&lt;wsp:rsid wsp:val=&quot;003D33A8&quot;/&gt;&lt;wsp:rsid wsp:val=&quot;003D43C9&quot;/&gt;&lt;wsp:rsid wsp:val=&quot;003D4D92&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33B7&quot;/&gt;&lt;wsp:rsid wsp:val=&quot;003F39F6&quot;/&gt;&lt;wsp:rsid wsp:val=&quot;003F4797&quot;/&gt;&lt;wsp:rsid wsp:val=&quot;003F47B5&quot;/&gt;&lt;wsp:rsid wsp:val=&quot;003F7A24&quot;/&gt;&lt;wsp:rsid wsp:val=&quot;004003E8&quot;/&gt;&lt;wsp:rsid wsp:val=&quot;004019CB&quot;/&gt;&lt;wsp:rsid wsp:val=&quot;0040222B&quot;/&gt;&lt;wsp:rsid wsp:val=&quot;004022CC&quot;/&gt;&lt;wsp:rsid wsp:val=&quot;00402831&quot;/&gt;&lt;wsp:rsid wsp:val=&quot;00403018&quot;/&gt;&lt;wsp:rsid wsp:val=&quot;004032F1&quot;/&gt;&lt;wsp:rsid wsp:val=&quot;004035F6&quot;/&gt;&lt;wsp:rsid wsp:val=&quot;00403EDF&quot;/&gt;&lt;wsp:rsid wsp:val=&quot;00404DB1&quot;/&gt;&lt;wsp:rsid wsp:val=&quot;004109C3&quot;/&gt;&lt;wsp:rsid wsp:val=&quot;00412147&quot;/&gt;&lt;wsp:rsid wsp:val=&quot;00413C55&quot;/&gt;&lt;wsp:rsid wsp:val=&quot;00414181&quot;/&gt;&lt;wsp:rsid wsp:val=&quot;004159B2&quot;/&gt;&lt;wsp:rsid wsp:val=&quot;0041624E&quot;/&gt;&lt;wsp:rsid wsp:val=&quot;0041782C&quot;/&gt;&lt;wsp:rsid wsp:val=&quot;004200D8&quot;/&gt;&lt;wsp:rsid wsp:val=&quot;004206FA&quot;/&gt;&lt;wsp:rsid wsp:val=&quot;004213CE&quot;/&gt;&lt;wsp:rsid wsp:val=&quot;004223F1&quot;/&gt;&lt;wsp:rsid wsp:val=&quot;00424AFD&quot;/&gt;&lt;wsp:rsid wsp:val=&quot;00424C9C&quot;/&gt;&lt;wsp:rsid wsp:val=&quot;00430171&quot;/&gt;&lt;wsp:rsid wsp:val=&quot;00431123&quot;/&gt;&lt;wsp:rsid wsp:val=&quot;00431C26&quot;/&gt;&lt;wsp:rsid wsp:val=&quot;00431E83&quot;/&gt;&lt;wsp:rsid wsp:val=&quot;004329DE&quot;/&gt;&lt;wsp:rsid wsp:val=&quot;00432F62&quot;/&gt;&lt;wsp:rsid wsp:val=&quot;004345FD&quot;/&gt;&lt;wsp:rsid wsp:val=&quot;0043707E&quot;/&gt;&lt;wsp:rsid wsp:val=&quot;00437B5E&quot;/&gt;&lt;wsp:rsid wsp:val=&quot;0044004B&quot;/&gt;&lt;wsp:rsid wsp:val=&quot;0044021C&quot;/&gt;&lt;wsp:rsid wsp:val=&quot;00441B41&quot;/&gt;&lt;wsp:rsid wsp:val=&quot;00444E6F&quot;/&gt;&lt;wsp:rsid wsp:val=&quot;00444EC1&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895&quot;/&gt;&lt;wsp:rsid wsp:val=&quot;00471F19&quot;/&gt;&lt;wsp:rsid wsp:val=&quot;00473384&quot;/&gt;&lt;wsp:rsid wsp:val=&quot;00474298&quot;/&gt;&lt;wsp:rsid wsp:val=&quot;00474C18&quot;/&gt;&lt;wsp:rsid wsp:val=&quot;0048214B&quot;/&gt;&lt;wsp:rsid wsp:val=&quot;004826E7&quot;/&gt;&lt;wsp:rsid wsp:val=&quot;00485CEE&quot;/&gt;&lt;wsp:rsid wsp:val=&quot;004874D3&quot;/&gt;&lt;wsp:rsid wsp:val=&quot;004878E4&quot;/&gt;&lt;wsp:rsid wsp:val=&quot;0049013E&quot;/&gt;&lt;wsp:rsid wsp:val=&quot;004902E0&quot;/&gt;&lt;wsp:rsid wsp:val=&quot;00490947&quot;/&gt;&lt;wsp:rsid wsp:val=&quot;00490B8F&quot;/&gt;&lt;wsp:rsid wsp:val=&quot;004910AC&quot;/&gt;&lt;wsp:rsid wsp:val=&quot;00492B8D&quot;/&gt;&lt;wsp:rsid wsp:val=&quot;004945F3&quot;/&gt;&lt;wsp:rsid wsp:val=&quot;00494C99&quot;/&gt;&lt;wsp:rsid wsp:val=&quot;004952EA&quot;/&gt;&lt;wsp:rsid wsp:val=&quot;004A1B0B&quot;/&gt;&lt;wsp:rsid wsp:val=&quot;004A29F5&quot;/&gt;&lt;wsp:rsid wsp:val=&quot;004A2F9D&quot;/&gt;&lt;wsp:rsid wsp:val=&quot;004A4203&quot;/&gt;&lt;wsp:rsid wsp:val=&quot;004A4333&quot;/&gt;&lt;wsp:rsid wsp:val=&quot;004A5270&quot;/&gt;&lt;wsp:rsid wsp:val=&quot;004A6725&quot;/&gt;&lt;wsp:rsid wsp:val=&quot;004A6728&quot;/&gt;&lt;wsp:rsid wsp:val=&quot;004B0FC0&quot;/&gt;&lt;wsp:rsid wsp:val=&quot;004B1BEE&quot;/&gt;&lt;wsp:rsid wsp:val=&quot;004B2359&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2546&quot;/&gt;&lt;wsp:rsid wsp:val=&quot;004D2F5B&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E685E&quot;/&gt;&lt;wsp:rsid wsp:val=&quot;004F21E5&quot;/&gt;&lt;wsp:rsid wsp:val=&quot;004F2E30&quot;/&gt;&lt;wsp:rsid wsp:val=&quot;004F344E&quot;/&gt;&lt;wsp:rsid wsp:val=&quot;004F428C&quot;/&gt;&lt;wsp:rsid wsp:val=&quot;004F6828&quot;/&gt;&lt;wsp:rsid wsp:val=&quot;004F6879&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29FE&quot;/&gt;&lt;wsp:rsid wsp:val=&quot;00514701&quot;/&gt;&lt;wsp:rsid wsp:val=&quot;00514C06&quot;/&gt;&lt;wsp:rsid wsp:val=&quot;00515ADF&quot;/&gt;&lt;wsp:rsid wsp:val=&quot;00516B1D&quot;/&gt;&lt;wsp:rsid wsp:val=&quot;0052072B&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C4E&quot;/&gt;&lt;wsp:rsid wsp:val=&quot;00543EA0&quot;/&gt;&lt;wsp:rsid wsp:val=&quot;0054487A&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0B4F&quot;/&gt;&lt;wsp:rsid wsp:val=&quot;005634EC&quot;/&gt;&lt;wsp:rsid wsp:val=&quot;00563BDE&quot;/&gt;&lt;wsp:rsid wsp:val=&quot;005645C5&quot;/&gt;&lt;wsp:rsid wsp:val=&quot;0056693D&quot;/&gt;&lt;wsp:rsid wsp:val=&quot;0057032E&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465F&quot;/&gt;&lt;wsp:rsid wsp:val=&quot;005765F4&quot;/&gt;&lt;wsp:rsid wsp:val=&quot;005771D3&quot;/&gt;&lt;wsp:rsid wsp:val=&quot;0057754D&quot;/&gt;&lt;wsp:rsid wsp:val=&quot;00582CFF&quot;/&gt;&lt;wsp:rsid wsp:val=&quot;005849FF&quot;/&gt;&lt;wsp:rsid wsp:val=&quot;00585903&quot;/&gt;&lt;wsp:rsid wsp:val=&quot;00585CC3&quot;/&gt;&lt;wsp:rsid wsp:val=&quot;00587189&quot;/&gt;&lt;wsp:rsid wsp:val=&quot;00587DE1&quot;/&gt;&lt;wsp:rsid wsp:val=&quot;0059060C&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4B91&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07A65&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178C1&quot;/&gt;&lt;wsp:rsid wsp:val=&quot;00620ECF&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819&quot;/&gt;&lt;wsp:rsid wsp:val=&quot;006429EB&quot;/&gt;&lt;wsp:rsid wsp:val=&quot;006432CC&quot;/&gt;&lt;wsp:rsid wsp:val=&quot;006438C1&quot;/&gt;&lt;wsp:rsid wsp:val=&quot;00644560&quot;/&gt;&lt;wsp:rsid wsp:val=&quot;00645134&quot;/&gt;&lt;wsp:rsid wsp:val=&quot;00645247&quot;/&gt;&lt;wsp:rsid wsp:val=&quot;00645CFD&quot;/&gt;&lt;wsp:rsid wsp:val=&quot;00645E6A&quot;/&gt;&lt;wsp:rsid wsp:val=&quot;0065074B&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5342&quot;/&gt;&lt;wsp:rsid wsp:val=&quot;0067658D&quot;/&gt;&lt;wsp:rsid wsp:val=&quot;00677CF1&quot;/&gt;&lt;wsp:rsid wsp:val=&quot;00677E9F&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96847&quot;/&gt;&lt;wsp:rsid wsp:val=&quot;006A255C&quot;/&gt;&lt;wsp:rsid wsp:val=&quot;006A2899&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16AE&quot;/&gt;&lt;wsp:rsid wsp:val=&quot;006C274B&quot;/&gt;&lt;wsp:rsid wsp:val=&quot;006C3F49&quot;/&gt;&lt;wsp:rsid wsp:val=&quot;006C50EE&quot;/&gt;&lt;wsp:rsid wsp:val=&quot;006C6AE2&quot;/&gt;&lt;wsp:rsid wsp:val=&quot;006C7A4B&quot;/&gt;&lt;wsp:rsid wsp:val=&quot;006D130D&quot;/&gt;&lt;wsp:rsid wsp:val=&quot;006D20DA&quot;/&gt;&lt;wsp:rsid wsp:val=&quot;006D3165&quot;/&gt;&lt;wsp:rsid wsp:val=&quot;006D7A0E&quot;/&gt;&lt;wsp:rsid wsp:val=&quot;006E1596&quot;/&gt;&lt;wsp:rsid wsp:val=&quot;006E1FF3&quot;/&gt;&lt;wsp:rsid wsp:val=&quot;006E29B9&quot;/&gt;&lt;wsp:rsid wsp:val=&quot;006E407E&quot;/&gt;&lt;wsp:rsid wsp:val=&quot;006E5673&quot;/&gt;&lt;wsp:rsid wsp:val=&quot;006E66DD&quot;/&gt;&lt;wsp:rsid wsp:val=&quot;006F0FB8&quot;/&gt;&lt;wsp:rsid wsp:val=&quot;006F135C&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15F0C&quot;/&gt;&lt;wsp:rsid wsp:val=&quot;007203C8&quot;/&gt;&lt;wsp:rsid wsp:val=&quot;00720496&quot;/&gt;&lt;wsp:rsid wsp:val=&quot;00721545&quot;/&gt;&lt;wsp:rsid wsp:val=&quot;0072164E&quot;/&gt;&lt;wsp:rsid wsp:val=&quot;00721704&quot;/&gt;&lt;wsp:rsid wsp:val=&quot;00722A0A&quot;/&gt;&lt;wsp:rsid wsp:val=&quot;00722C89&quot;/&gt;&lt;wsp:rsid wsp:val=&quot;0072399E&quot;/&gt;&lt;wsp:rsid wsp:val=&quot;00724973&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1069&quot;/&gt;&lt;wsp:rsid wsp:val=&quot;007560EA&quot;/&gt;&lt;wsp:rsid wsp:val=&quot;00756874&quot;/&gt;&lt;wsp:rsid wsp:val=&quot;00757025&quot;/&gt;&lt;wsp:rsid wsp:val=&quot;0075736E&quot;/&gt;&lt;wsp:rsid wsp:val=&quot;00760E00&quot;/&gt;&lt;wsp:rsid wsp:val=&quot;00761570&quot;/&gt;&lt;wsp:rsid wsp:val=&quot;00762BCE&quot;/&gt;&lt;wsp:rsid wsp:val=&quot;00763C91&quot;/&gt;&lt;wsp:rsid wsp:val=&quot;00764B12&quot;/&gt;&lt;wsp:rsid wsp:val=&quot;0076799C&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371E&quot;/&gt;&lt;wsp:rsid wsp:val=&quot;00784592&quot;/&gt;&lt;wsp:rsid wsp:val=&quot;00784890&quot;/&gt;&lt;wsp:rsid wsp:val=&quot;00784BF2&quot;/&gt;&lt;wsp:rsid wsp:val=&quot;00785E7F&quot;/&gt;&lt;wsp:rsid wsp:val=&quot;007860DD&quot;/&gt;&lt;wsp:rsid wsp:val=&quot;0078634F&quot;/&gt;&lt;wsp:rsid wsp:val=&quot;007864FE&quot;/&gt;&lt;wsp:rsid wsp:val=&quot;00787317&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4543&quot;/&gt;&lt;wsp:rsid wsp:val=&quot;007D6E7F&quot;/&gt;&lt;wsp:rsid wsp:val=&quot;007E116C&quot;/&gt;&lt;wsp:rsid wsp:val=&quot;007E3014&quot;/&gt;&lt;wsp:rsid wsp:val=&quot;007E4353&quot;/&gt;&lt;wsp:rsid wsp:val=&quot;007E53F6&quot;/&gt;&lt;wsp:rsid wsp:val=&quot;007E5906&quot;/&gt;&lt;wsp:rsid wsp:val=&quot;007E5EE9&quot;/&gt;&lt;wsp:rsid wsp:val=&quot;007E7061&quot;/&gt;&lt;wsp:rsid wsp:val=&quot;007E79BE&quot;/&gt;&lt;wsp:rsid wsp:val=&quot;007E7FCB&quot;/&gt;&lt;wsp:rsid wsp:val=&quot;007F21CD&quot;/&gt;&lt;wsp:rsid wsp:val=&quot;007F2445&quot;/&gt;&lt;wsp:rsid wsp:val=&quot;007F316D&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1446D&quot;/&gt;&lt;wsp:rsid wsp:val=&quot;00814699&quot;/&gt;&lt;wsp:rsid wsp:val=&quot;00817743&quot;/&gt;&lt;wsp:rsid wsp:val=&quot;00821556&quot;/&gt;&lt;wsp:rsid wsp:val=&quot;00821F2C&quot;/&gt;&lt;wsp:rsid wsp:val=&quot;008220C7&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1E28&quot;/&gt;&lt;wsp:rsid wsp:val=&quot;00842BFB&quot;/&gt;&lt;wsp:rsid wsp:val=&quot;00847786&quot;/&gt;&lt;wsp:rsid wsp:val=&quot;0085048F&quot;/&gt;&lt;wsp:rsid wsp:val=&quot;00853901&quot;/&gt;&lt;wsp:rsid wsp:val=&quot;00853E28&quot;/&gt;&lt;wsp:rsid wsp:val=&quot;008543CB&quot;/&gt;&lt;wsp:rsid wsp:val=&quot;00854556&quot;/&gt;&lt;wsp:rsid wsp:val=&quot;00854AFF&quot;/&gt;&lt;wsp:rsid wsp:val=&quot;00855E7E&quot;/&gt;&lt;wsp:rsid wsp:val=&quot;0085677D&quot;/&gt;&lt;wsp:rsid wsp:val=&quot;008609BD&quot;/&gt;&lt;wsp:rsid wsp:val=&quot;0086247A&quot;/&gt;&lt;wsp:rsid wsp:val=&quot;008626F6&quot;/&gt;&lt;wsp:rsid wsp:val=&quot;00864E0E&quot;/&gt;&lt;wsp:rsid wsp:val=&quot;008677F8&quot;/&gt;&lt;wsp:rsid wsp:val=&quot;00867EC2&quot;/&gt;&lt;wsp:rsid wsp:val=&quot;00870E43&quot;/&gt;&lt;wsp:rsid wsp:val=&quot;008723F6&quot;/&gt;&lt;wsp:rsid wsp:val=&quot;0087282C&quot;/&gt;&lt;wsp:rsid wsp:val=&quot;00872B47&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1B8E&quot;/&gt;&lt;wsp:rsid wsp:val=&quot;00882022&quot;/&gt;&lt;wsp:rsid wsp:val=&quot;008844F1&quot;/&gt;&lt;wsp:rsid wsp:val=&quot;00884ADD&quot;/&gt;&lt;wsp:rsid wsp:val=&quot;0088611D&quot;/&gt;&lt;wsp:rsid wsp:val=&quot;00886256&quot;/&gt;&lt;wsp:rsid wsp:val=&quot;00890A01&quot;/&gt;&lt;wsp:rsid wsp:val=&quot;00891CC4&quot;/&gt;&lt;wsp:rsid wsp:val=&quot;00896910&quot;/&gt;&lt;wsp:rsid wsp:val=&quot;00896BCB&quot;/&gt;&lt;wsp:rsid wsp:val=&quot;0089715E&quot;/&gt;&lt;wsp:rsid wsp:val=&quot;00897954&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362C&quot;/&gt;&lt;wsp:rsid wsp:val=&quot;00904C0E&quot;/&gt;&lt;wsp:rsid wsp:val=&quot;0090517A&quot;/&gt;&lt;wsp:rsid wsp:val=&quot;0090650B&quot;/&gt;&lt;wsp:rsid wsp:val=&quot;009075A4&quot;/&gt;&lt;wsp:rsid wsp:val=&quot;00907C38&quot;/&gt;&lt;wsp:rsid wsp:val=&quot;00910330&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5F67&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5&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0BA&quot;/&gt;&lt;wsp:rsid wsp:val=&quot;00952BD8&quot;/&gt;&lt;wsp:rsid wsp:val=&quot;00953883&quot;/&gt;&lt;wsp:rsid wsp:val=&quot;00953FB6&quot;/&gt;&lt;wsp:rsid wsp:val=&quot;00954DFA&quot;/&gt;&lt;wsp:rsid wsp:val=&quot;00954ED7&quot;/&gt;&lt;wsp:rsid wsp:val=&quot;009559A2&quot;/&gt;&lt;wsp:rsid wsp:val=&quot;009571B9&quot;/&gt;&lt;wsp:rsid wsp:val=&quot;00957FBE&quot;/&gt;&lt;wsp:rsid wsp:val=&quot;00960060&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1E03&quot;/&gt;&lt;wsp:rsid wsp:val=&quot;00973F28&quot;/&gt;&lt;wsp:rsid wsp:val=&quot;00973FA2&quot;/&gt;&lt;wsp:rsid wsp:val=&quot;00974866&quot;/&gt;&lt;wsp:rsid wsp:val=&quot;009762CD&quot;/&gt;&lt;wsp:rsid wsp:val=&quot;00980491&quot;/&gt;&lt;wsp:rsid wsp:val=&quot;009808F5&quot;/&gt;&lt;wsp:rsid wsp:val=&quot;00981D9F&quot;/&gt;&lt;wsp:rsid wsp:val=&quot;00982DA0&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1F5E&quot;/&gt;&lt;wsp:rsid wsp:val=&quot;009D25E3&quot;/&gt;&lt;wsp:rsid wsp:val=&quot;009D49BC&quot;/&gt;&lt;wsp:rsid wsp:val=&quot;009D6963&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1151&quot;/&gt;&lt;wsp:rsid wsp:val=&quot;009F46E3&quot;/&gt;&lt;wsp:rsid wsp:val=&quot;009F4830&quot;/&gt;&lt;wsp:rsid wsp:val=&quot;009F69FB&quot;/&gt;&lt;wsp:rsid wsp:val=&quot;00A0110D&quot;/&gt;&lt;wsp:rsid wsp:val=&quot;00A04FA4&quot;/&gt;&lt;wsp:rsid wsp:val=&quot;00A07D2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2CC3&quot;/&gt;&lt;wsp:rsid wsp:val=&quot;00A63863&quot;/&gt;&lt;wsp:rsid wsp:val=&quot;00A64301&quot;/&gt;&lt;wsp:rsid wsp:val=&quot;00A667FD&quot;/&gt;&lt;wsp:rsid wsp:val=&quot;00A71167&quot;/&gt;&lt;wsp:rsid wsp:val=&quot;00A71D04&quot;/&gt;&lt;wsp:rsid wsp:val=&quot;00A72D98&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1ED3&quot;/&gt;&lt;wsp:rsid wsp:val=&quot;00A924D1&quot;/&gt;&lt;wsp:rsid wsp:val=&quot;00A95126&quot;/&gt;&lt;wsp:rsid wsp:val=&quot;00A9661B&quot;/&gt;&lt;wsp:rsid wsp:val=&quot;00AA09D7&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6A75&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1FD&quot;/&gt;&lt;wsp:rsid wsp:val=&quot;00B027F4&quot;/&gt;&lt;wsp:rsid wsp:val=&quot;00B02CFA&quot;/&gt;&lt;wsp:rsid wsp:val=&quot;00B04276&quot;/&gt;&lt;wsp:rsid wsp:val=&quot;00B042C3&quot;/&gt;&lt;wsp:rsid wsp:val=&quot;00B047FB&quot;/&gt;&lt;wsp:rsid wsp:val=&quot;00B057B7&quot;/&gt;&lt;wsp:rsid wsp:val=&quot;00B13627&quot;/&gt;&lt;wsp:rsid wsp:val=&quot;00B13801&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36AC4&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2BC&quot;/&gt;&lt;wsp:rsid wsp:val=&quot;00B51372&quot;/&gt;&lt;wsp:rsid wsp:val=&quot;00B51987&quot;/&gt;&lt;wsp:rsid wsp:val=&quot;00B519BD&quot;/&gt;&lt;wsp:rsid wsp:val=&quot;00B52708&quot;/&gt;&lt;wsp:rsid wsp:val=&quot;00B529BC&quot;/&gt;&lt;wsp:rsid wsp:val=&quot;00B52B32&quot;/&gt;&lt;wsp:rsid wsp:val=&quot;00B54F4D&quot;/&gt;&lt;wsp:rsid wsp:val=&quot;00B55528&quot;/&gt;&lt;wsp:rsid wsp:val=&quot;00B55621&quot;/&gt;&lt;wsp:rsid wsp:val=&quot;00B55DB1&quot;/&gt;&lt;wsp:rsid wsp:val=&quot;00B56F1C&quot;/&gt;&lt;wsp:rsid wsp:val=&quot;00B601DC&quot;/&gt;&lt;wsp:rsid wsp:val=&quot;00B616D7&quot;/&gt;&lt;wsp:rsid wsp:val=&quot;00B631FD&quot;/&gt;&lt;wsp:rsid wsp:val=&quot;00B63624&quot;/&gt;&lt;wsp:rsid wsp:val=&quot;00B639F2&quot;/&gt;&lt;wsp:rsid wsp:val=&quot;00B640E8&quot;/&gt;&lt;wsp:rsid wsp:val=&quot;00B65473&quot;/&gt;&lt;wsp:rsid wsp:val=&quot;00B66FDF&quot;/&gt;&lt;wsp:rsid wsp:val=&quot;00B70F7C&quot;/&gt;&lt;wsp:rsid wsp:val=&quot;00B7219D&quot;/&gt;&lt;wsp:rsid wsp:val=&quot;00B727C9&quot;/&gt;&lt;wsp:rsid wsp:val=&quot;00B74008&quot;/&gt;&lt;wsp:rsid wsp:val=&quot;00B747D3&quot;/&gt;&lt;wsp:rsid wsp:val=&quot;00B75DE1&quot;/&gt;&lt;wsp:rsid wsp:val=&quot;00B80F17&quot;/&gt;&lt;wsp:rsid wsp:val=&quot;00B86333&quot;/&gt;&lt;wsp:rsid wsp:val=&quot;00B906C7&quot;/&gt;&lt;wsp:rsid wsp:val=&quot;00B94A19&quot;/&gt;&lt;wsp:rsid wsp:val=&quot;00B964BE&quot;/&gt;&lt;wsp:rsid wsp:val=&quot;00B976A8&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41E0&quot;/&gt;&lt;wsp:rsid wsp:val=&quot;00BB52CF&quot;/&gt;&lt;wsp:rsid wsp:val=&quot;00BB5369&quot;/&gt;&lt;wsp:rsid wsp:val=&quot;00BB56DE&quot;/&gt;&lt;wsp:rsid wsp:val=&quot;00BC0B79&quot;/&gt;&lt;wsp:rsid wsp:val=&quot;00BC0C1F&quot;/&gt;&lt;wsp:rsid wsp:val=&quot;00BC2941&quot;/&gt;&lt;wsp:rsid wsp:val=&quot;00BC29C2&quot;/&gt;&lt;wsp:rsid wsp:val=&quot;00BC370E&quot;/&gt;&lt;wsp:rsid wsp:val=&quot;00BC3D43&quot;/&gt;&lt;wsp:rsid wsp:val=&quot;00BC7386&quot;/&gt;&lt;wsp:rsid wsp:val=&quot;00BC75B5&quot;/&gt;&lt;wsp:rsid wsp:val=&quot;00BD10D2&quot;/&gt;&lt;wsp:rsid wsp:val=&quot;00BD114B&quot;/&gt;&lt;wsp:rsid wsp:val=&quot;00BD4762&quot;/&gt;&lt;wsp:rsid wsp:val=&quot;00BD491D&quot;/&gt;&lt;wsp:rsid wsp:val=&quot;00BD4FA9&quot;/&gt;&lt;wsp:rsid wsp:val=&quot;00BD5E6D&quot;/&gt;&lt;wsp:rsid wsp:val=&quot;00BD604C&quot;/&gt;&lt;wsp:rsid wsp:val=&quot;00BE3B07&quot;/&gt;&lt;wsp:rsid wsp:val=&quot;00BE6024&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02E&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2F22&quot;/&gt;&lt;wsp:rsid wsp:val=&quot;00C26E62&quot;/&gt;&lt;wsp:rsid wsp:val=&quot;00C2739B&quot;/&gt;&lt;wsp:rsid wsp:val=&quot;00C30853&quot;/&gt;&lt;wsp:rsid wsp:val=&quot;00C31265&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8D3&quot;/&gt;&lt;wsp:rsid wsp:val=&quot;00C55F50&quot;/&gt;&lt;wsp:rsid wsp:val=&quot;00C569AB&quot;/&gt;&lt;wsp:rsid wsp:val=&quot;00C569CC&quot;/&gt;&lt;wsp:rsid wsp:val=&quot;00C57ACC&quot;/&gt;&lt;wsp:rsid wsp:val=&quot;00C62130&quot;/&gt;&lt;wsp:rsid wsp:val=&quot;00C6529A&quot;/&gt;&lt;wsp:rsid wsp:val=&quot;00C70079&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16CA&quot;/&gt;&lt;wsp:rsid wsp:val=&quot;00C84ACC&quot;/&gt;&lt;wsp:rsid wsp:val=&quot;00C84B47&quot;/&gt;&lt;wsp:rsid wsp:val=&quot;00C85321&quot;/&gt;&lt;wsp:rsid wsp:val=&quot;00C86B16&quot;/&gt;&lt;wsp:rsid wsp:val=&quot;00C878E9&quot;/&gt;&lt;wsp:rsid wsp:val=&quot;00C91D1C&quot;/&gt;&lt;wsp:rsid wsp:val=&quot;00C941C9&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D7CC4&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8B1&quot;/&gt;&lt;wsp:rsid wsp:val=&quot;00D16974&quot;/&gt;&lt;wsp:rsid wsp:val=&quot;00D20BAF&quot;/&gt;&lt;wsp:rsid wsp:val=&quot;00D20F88&quot;/&gt;&lt;wsp:rsid wsp:val=&quot;00D21238&quot;/&gt;&lt;wsp:rsid wsp:val=&quot;00D21BF2&quot;/&gt;&lt;wsp:rsid wsp:val=&quot;00D24512&quot;/&gt;&lt;wsp:rsid wsp:val=&quot;00D25D15&quot;/&gt;&lt;wsp:rsid wsp:val=&quot;00D26D98&quot;/&gt;&lt;wsp:rsid wsp:val=&quot;00D3374A&quot;/&gt;&lt;wsp:rsid wsp:val=&quot;00D34E06&quot;/&gt;&lt;wsp:rsid wsp:val=&quot;00D3600E&quot;/&gt;&lt;wsp:rsid wsp:val=&quot;00D4033B&quot;/&gt;&lt;wsp:rsid wsp:val=&quot;00D40A92&quot;/&gt;&lt;wsp:rsid wsp:val=&quot;00D4230C&quot;/&gt;&lt;wsp:rsid wsp:val=&quot;00D4263C&quot;/&gt;&lt;wsp:rsid wsp:val=&quot;00D43594&quot;/&gt;&lt;wsp:rsid wsp:val=&quot;00D43CBF&quot;/&gt;&lt;wsp:rsid wsp:val=&quot;00D44D53&quot;/&gt;&lt;wsp:rsid wsp:val=&quot;00D464A2&quot;/&gt;&lt;wsp:rsid wsp:val=&quot;00D506D0&quot;/&gt;&lt;wsp:rsid wsp:val=&quot;00D50E15&quot;/&gt;&lt;wsp:rsid wsp:val=&quot;00D51795&quot;/&gt;&lt;wsp:rsid wsp:val=&quot;00D52A83&quot;/&gt;&lt;wsp:rsid wsp:val=&quot;00D5616D&quot;/&gt;&lt;wsp:rsid wsp:val=&quot;00D5711F&quot;/&gt;&lt;wsp:rsid wsp:val=&quot;00D6167F&quot;/&gt;&lt;wsp:rsid wsp:val=&quot;00D616F1&quot;/&gt;&lt;wsp:rsid wsp:val=&quot;00D63474&quot;/&gt;&lt;wsp:rsid wsp:val=&quot;00D63714&quot;/&gt;&lt;wsp:rsid wsp:val=&quot;00D6383D&quot;/&gt;&lt;wsp:rsid wsp:val=&quot;00D63AFC&quot;/&gt;&lt;wsp:rsid wsp:val=&quot;00D64B68&quot;/&gt;&lt;wsp:rsid wsp:val=&quot;00D66373&quot;/&gt;&lt;wsp:rsid wsp:val=&quot;00D66C53&quot;/&gt;&lt;wsp:rsid wsp:val=&quot;00D6781B&quot;/&gt;&lt;wsp:rsid wsp:val=&quot;00D67BE8&quot;/&gt;&lt;wsp:rsid wsp:val=&quot;00D701C3&quot;/&gt;&lt;wsp:rsid wsp:val=&quot;00D72213&quot;/&gt;&lt;wsp:rsid wsp:val=&quot;00D76391&quot;/&gt;&lt;wsp:rsid wsp:val=&quot;00D76736&quot;/&gt;&lt;wsp:rsid wsp:val=&quot;00D81D6F&quot;/&gt;&lt;wsp:rsid wsp:val=&quot;00D8292D&quot;/&gt;&lt;wsp:rsid wsp:val=&quot;00D82F01&quot;/&gt;&lt;wsp:rsid wsp:val=&quot;00D82F8E&quot;/&gt;&lt;wsp:rsid wsp:val=&quot;00D85299&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686F&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03FD&quot;/&gt;&lt;wsp:rsid wsp:val=&quot;00DB156D&quot;/&gt;&lt;wsp:rsid wsp:val=&quot;00DB17FD&quot;/&gt;&lt;wsp:rsid wsp:val=&quot;00DB25C9&quot;/&gt;&lt;wsp:rsid wsp:val=&quot;00DB2887&quot;/&gt;&lt;wsp:rsid wsp:val=&quot;00DB3AC5&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0B43&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3C9&quot;/&gt;&lt;wsp:rsid wsp:val=&quot;00DE144D&quot;/&gt;&lt;wsp:rsid wsp:val=&quot;00DE15ED&quot;/&gt;&lt;wsp:rsid wsp:val=&quot;00DE1739&quot;/&gt;&lt;wsp:rsid wsp:val=&quot;00DE6C95&quot;/&gt;&lt;wsp:rsid wsp:val=&quot;00DF0111&quot;/&gt;&lt;wsp:rsid wsp:val=&quot;00DF5416&quot;/&gt;&lt;wsp:rsid wsp:val=&quot;00E00053&quot;/&gt;&lt;wsp:rsid wsp:val=&quot;00E00BB2&quot;/&gt;&lt;wsp:rsid wsp:val=&quot;00E021E5&quot;/&gt;&lt;wsp:rsid wsp:val=&quot;00E02359&quot;/&gt;&lt;wsp:rsid wsp:val=&quot;00E03022&quot;/&gt;&lt;wsp:rsid wsp:val=&quot;00E04707&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1FD9&quot;/&gt;&lt;wsp:rsid wsp:val=&quot;00E22104&quot;/&gt;&lt;wsp:rsid wsp:val=&quot;00E24A3F&quot;/&gt;&lt;wsp:rsid wsp:val=&quot;00E25D1D&quot;/&gt;&lt;wsp:rsid wsp:val=&quot;00E2627F&quot;/&gt;&lt;wsp:rsid wsp:val=&quot;00E26964&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483&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A5&quot;/&gt;&lt;wsp:rsid wsp:val=&quot;00E730D0&quot;/&gt;&lt;wsp:rsid wsp:val=&quot;00E74753&quot;/&gt;&lt;wsp:rsid wsp:val=&quot;00E7512C&quot;/&gt;&lt;wsp:rsid wsp:val=&quot;00E75737&quot;/&gt;&lt;wsp:rsid wsp:val=&quot;00E75E82&quot;/&gt;&lt;wsp:rsid wsp:val=&quot;00E7769E&quot;/&gt;&lt;wsp:rsid wsp:val=&quot;00E81458&quot;/&gt;&lt;wsp:rsid wsp:val=&quot;00E8276B&quot;/&gt;&lt;wsp:rsid wsp:val=&quot;00E828C3&quot;/&gt;&lt;wsp:rsid wsp:val=&quot;00E83543&quot;/&gt;&lt;wsp:rsid wsp:val=&quot;00E83CC5&quot;/&gt;&lt;wsp:rsid wsp:val=&quot;00E840A5&quot;/&gt;&lt;wsp:rsid wsp:val=&quot;00E85A53&quot;/&gt;&lt;wsp:rsid wsp:val=&quot;00E87AB9&quot;/&gt;&lt;wsp:rsid wsp:val=&quot;00E90CED&quot;/&gt;&lt;wsp:rsid wsp:val=&quot;00E91816&quot;/&gt;&lt;wsp:rsid wsp:val=&quot;00E94D93&quot;/&gt;&lt;wsp:rsid wsp:val=&quot;00E95A5C&quot;/&gt;&lt;wsp:rsid wsp:val=&quot;00E95F0A&quot;/&gt;&lt;wsp:rsid wsp:val=&quot;00E968DC&quot;/&gt;&lt;wsp:rsid wsp:val=&quot;00E97987&quot;/&gt;&lt;wsp:rsid wsp:val=&quot;00EA0D4F&quot;/&gt;&lt;wsp:rsid wsp:val=&quot;00EA1EF6&quot;/&gt;&lt;wsp:rsid wsp:val=&quot;00EA20AC&quot;/&gt;&lt;wsp:rsid wsp:val=&quot;00EA21B3&quot;/&gt;&lt;wsp:rsid wsp:val=&quot;00EA235C&quot;/&gt;&lt;wsp:rsid wsp:val=&quot;00EA3085&quot;/&gt;&lt;wsp:rsid wsp:val=&quot;00EA78CB&quot;/&gt;&lt;wsp:rsid wsp:val=&quot;00EA7990&quot;/&gt;&lt;wsp:rsid wsp:val=&quot;00EB0E0F&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B17&quot;/&gt;&lt;wsp:rsid wsp:val=&quot;00EE1DB6&quot;/&gt;&lt;wsp:rsid wsp:val=&quot;00EE5BF5&quot;/&gt;&lt;wsp:rsid wsp:val=&quot;00EE700F&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771&quot;/&gt;&lt;wsp:rsid wsp:val=&quot;00F00BDB&quot;/&gt;&lt;wsp:rsid wsp:val=&quot;00F053A6&quot;/&gt;&lt;wsp:rsid wsp:val=&quot;00F07602&quot;/&gt;&lt;wsp:rsid wsp:val=&quot;00F07B8D&quot;/&gt;&lt;wsp:rsid wsp:val=&quot;00F07D58&quot;/&gt;&lt;wsp:rsid wsp:val=&quot;00F1076C&quot;/&gt;&lt;wsp:rsid wsp:val=&quot;00F10F06&quot;/&gt;&lt;wsp:rsid wsp:val=&quot;00F1304F&quot;/&gt;&lt;wsp:rsid wsp:val=&quot;00F13A18&quot;/&gt;&lt;wsp:rsid wsp:val=&quot;00F1518F&quot;/&gt;&lt;wsp:rsid wsp:val=&quot;00F15389&quot;/&gt;&lt;wsp:rsid wsp:val=&quot;00F1599E&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286F&quot;/&gt;&lt;wsp:rsid wsp:val=&quot;00F33DA4&quot;/&gt;&lt;wsp:rsid wsp:val=&quot;00F353C6&quot;/&gt;&lt;wsp:rsid wsp:val=&quot;00F36949&quot;/&gt;&lt;wsp:rsid wsp:val=&quot;00F36C74&quot;/&gt;&lt;wsp:rsid wsp:val=&quot;00F37644&quot;/&gt;&lt;wsp:rsid wsp:val=&quot;00F44456&quot;/&gt;&lt;wsp:rsid wsp:val=&quot;00F44AAD&quot;/&gt;&lt;wsp:rsid wsp:val=&quot;00F44ADB&quot;/&gt;&lt;wsp:rsid wsp:val=&quot;00F45D8C&quot;/&gt;&lt;wsp:rsid wsp:val=&quot;00F460E7&quot;/&gt;&lt;wsp:rsid wsp:val=&quot;00F5134E&quot;/&gt;&lt;wsp:rsid wsp:val=&quot;00F52B54&quot;/&gt;&lt;wsp:rsid wsp:val=&quot;00F541CD&quot;/&gt;&lt;wsp:rsid wsp:val=&quot;00F609A6&quot;/&gt;&lt;wsp:rsid wsp:val=&quot;00F61405&quot;/&gt;&lt;wsp:rsid wsp:val=&quot;00F61573&quot;/&gt;&lt;wsp:rsid wsp:val=&quot;00F632C7&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4E42&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3D51&quot;/&gt;&lt;wsp:rsid wsp:val=&quot;00FA4646&quot;/&gt;&lt;wsp:rsid wsp:val=&quot;00FA6DD9&quot;/&gt;&lt;wsp:rsid wsp:val=&quot;00FA7C6E&quot;/&gt;&lt;wsp:rsid wsp:val=&quot;00FB02B8&quot;/&gt;&lt;wsp:rsid wsp:val=&quot;00FB0F0E&quot;/&gt;&lt;wsp:rsid wsp:val=&quot;00FB1E36&quot;/&gt;&lt;wsp:rsid wsp:val=&quot;00FB3721&quot;/&gt;&lt;wsp:rsid wsp:val=&quot;00FC0112&quot;/&gt;&lt;wsp:rsid wsp:val=&quot;00FC2435&quot;/&gt;&lt;wsp:rsid wsp:val=&quot;00FC2853&quot;/&gt;&lt;wsp:rsid wsp:val=&quot;00FC2A3B&quot;/&gt;&lt;wsp:rsid wsp:val=&quot;00FC56EC&quot;/&gt;&lt;wsp:rsid wsp:val=&quot;00FC5F97&quot;/&gt;&lt;wsp:rsid wsp:val=&quot;00FC5FCE&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 wsp:val=&quot;01913EE5&quot;/&gt;&lt;wsp:rsid wsp:val=&quot;028F592D&quot;/&gt;&lt;wsp:rsid wsp:val=&quot;03442226&quot;/&gt;&lt;wsp:rsid wsp:val=&quot;03653EFA&quot;/&gt;&lt;wsp:rsid wsp:val=&quot;041A1B6C&quot;/&gt;&lt;wsp:rsid wsp:val=&quot;05076F73&quot;/&gt;&lt;wsp:rsid wsp:val=&quot;069D413E&quot;/&gt;&lt;wsp:rsid wsp:val=&quot;0AED07E6&quot;/&gt;&lt;wsp:rsid wsp:val=&quot;0C5000D6&quot;/&gt;&lt;wsp:rsid wsp:val=&quot;0D5027DF&quot;/&gt;&lt;wsp:rsid wsp:val=&quot;0DAA3665&quot;/&gt;&lt;wsp:rsid wsp:val=&quot;0F522479&quot;/&gt;&lt;wsp:rsid wsp:val=&quot;0F964C30&quot;/&gt;&lt;wsp:rsid wsp:val=&quot;10954101&quot;/&gt;&lt;wsp:rsid wsp:val=&quot;129670E6&quot;/&gt;&lt;wsp:rsid wsp:val=&quot;13535C1D&quot;/&gt;&lt;wsp:rsid wsp:val=&quot;13B00235&quot;/&gt;&lt;wsp:rsid wsp:val=&quot;142D3110&quot;/&gt;&lt;wsp:rsid wsp:val=&quot;147D7105&quot;/&gt;&lt;wsp:rsid wsp:val=&quot;15505755&quot;/&gt;&lt;wsp:rsid wsp:val=&quot;162D6DFB&quot;/&gt;&lt;wsp:rsid wsp:val=&quot;16A6727C&quot;/&gt;&lt;wsp:rsid wsp:val=&quot;176F31FD&quot;/&gt;&lt;wsp:rsid wsp:val=&quot;1AE579CF&quot;/&gt;&lt;wsp:rsid wsp:val=&quot;1B7B1F7C&quot;/&gt;&lt;wsp:rsid wsp:val=&quot;1BDF4200&quot;/&gt;&lt;wsp:rsid wsp:val=&quot;1C461BF2&quot;/&gt;&lt;wsp:rsid wsp:val=&quot;1CBE498C&quot;/&gt;&lt;wsp:rsid wsp:val=&quot;1F633C25&quot;/&gt;&lt;wsp:rsid wsp:val=&quot;1FE525D4&quot;/&gt;&lt;wsp:rsid wsp:val=&quot;21962554&quot;/&gt;&lt;wsp:rsid wsp:val=&quot;21AB295D&quot;/&gt;&lt;wsp:rsid wsp:val=&quot;21E62F9A&quot;/&gt;&lt;wsp:rsid wsp:val=&quot;23FC2058&quot;/&gt;&lt;wsp:rsid wsp:val=&quot;24083460&quot;/&gt;&lt;wsp:rsid wsp:val=&quot;240C1A97&quot;/&gt;&lt;wsp:rsid wsp:val=&quot;24402A29&quot;/&gt;&lt;wsp:rsid wsp:val=&quot;24EF1192&quot;/&gt;&lt;wsp:rsid wsp:val=&quot;26B54D1B&quot;/&gt;&lt;wsp:rsid wsp:val=&quot;27504F53&quot;/&gt;&lt;wsp:rsid wsp:val=&quot;27EC0D41&quot;/&gt;&lt;wsp:rsid wsp:val=&quot;288C7A13&quot;/&gt;&lt;wsp:rsid wsp:val=&quot;29280A4A&quot;/&gt;&lt;wsp:rsid wsp:val=&quot;2A242902&quot;/&gt;&lt;wsp:rsid wsp:val=&quot;2B0F5A52&quot;/&gt;&lt;wsp:rsid wsp:val=&quot;2BA210C8&quot;/&gt;&lt;wsp:rsid wsp:val=&quot;2C322210&quot;/&gt;&lt;wsp:rsid wsp:val=&quot;2C880EAC&quot;/&gt;&lt;wsp:rsid wsp:val=&quot;2D0B45D8&quot;/&gt;&lt;wsp:rsid wsp:val=&quot;2D7A5F58&quot;/&gt;&lt;wsp:rsid wsp:val=&quot;2DE5090C&quot;/&gt;&lt;wsp:rsid wsp:val=&quot;2F245151&quot;/&gt;&lt;wsp:rsid wsp:val=&quot;2F9C50D7&quot;/&gt;&lt;wsp:rsid wsp:val=&quot;31CE7C91&quot;/&gt;&lt;wsp:rsid wsp:val=&quot;3337290D&quot;/&gt;&lt;wsp:rsid wsp:val=&quot;36284D13&quot;/&gt;&lt;wsp:rsid wsp:val=&quot;3894435E&quot;/&gt;&lt;wsp:rsid wsp:val=&quot;39093C9F&quot;/&gt;&lt;wsp:rsid wsp:val=&quot;3A3141FD&quot;/&gt;&lt;wsp:rsid wsp:val=&quot;3A4F2B98&quot;/&gt;&lt;wsp:rsid wsp:val=&quot;3ADB3587&quot;/&gt;&lt;wsp:rsid wsp:val=&quot;3B7A0243&quot;/&gt;&lt;wsp:rsid wsp:val=&quot;3D3B012F&quot;/&gt;&lt;wsp:rsid wsp:val=&quot;3F946430&quot;/&gt;&lt;wsp:rsid wsp:val=&quot;414D6E8F&quot;/&gt;&lt;wsp:rsid wsp:val=&quot;44C457EC&quot;/&gt;&lt;wsp:rsid wsp:val=&quot;453D5151&quot;/&gt;&lt;wsp:rsid wsp:val=&quot;46087ED9&quot;/&gt;&lt;wsp:rsid wsp:val=&quot;464F3E74&quot;/&gt;&lt;wsp:rsid wsp:val=&quot;47B7007B&quot;/&gt;&lt;wsp:rsid wsp:val=&quot;4AF34469&quot;/&gt;&lt;wsp:rsid wsp:val=&quot;4DC67269&quot;/&gt;&lt;wsp:rsid wsp:val=&quot;4EB12B06&quot;/&gt;&lt;wsp:rsid wsp:val=&quot;500669FA&quot;/&gt;&lt;wsp:rsid wsp:val=&quot;50780669&quot;/&gt;&lt;wsp:rsid wsp:val=&quot;510F2B1C&quot;/&gt;&lt;wsp:rsid wsp:val=&quot;531F30EF&quot;/&gt;&lt;wsp:rsid wsp:val=&quot;53FC68EC&quot;/&gt;&lt;wsp:rsid wsp:val=&quot;55C31C18&quot;/&gt;&lt;wsp:rsid wsp:val=&quot;563802EA&quot;/&gt;&lt;wsp:rsid wsp:val=&quot;56DC4230&quot;/&gt;&lt;wsp:rsid wsp:val=&quot;57504909&quot;/&gt;&lt;wsp:rsid wsp:val=&quot;583E2C99&quot;/&gt;&lt;wsp:rsid wsp:val=&quot;59801151&quot;/&gt;&lt;wsp:rsid wsp:val=&quot;5DF259C4&quot;/&gt;&lt;wsp:rsid wsp:val=&quot;60B62CF0&quot;/&gt;&lt;wsp:rsid wsp:val=&quot;64894531&quot;/&gt;&lt;wsp:rsid wsp:val=&quot;65185966&quot;/&gt;&lt;wsp:rsid wsp:val=&quot;651B6D5B&quot;/&gt;&lt;wsp:rsid wsp:val=&quot;655E3BFF&quot;/&gt;&lt;wsp:rsid wsp:val=&quot;65D861FB&quot;/&gt;&lt;wsp:rsid wsp:val=&quot;66874C3F&quot;/&gt;&lt;wsp:rsid wsp:val=&quot;66B83AD3&quot;/&gt;&lt;wsp:rsid wsp:val=&quot;67297020&quot;/&gt;&lt;wsp:rsid wsp:val=&quot;67C878B1&quot;/&gt;&lt;wsp:rsid wsp:val=&quot;68856D5A&quot;/&gt;&lt;wsp:rsid wsp:val=&quot;69E43F64&quot;/&gt;&lt;wsp:rsid wsp:val=&quot;6A4F07BF&quot;/&gt;&lt;wsp:rsid wsp:val=&quot;6AE00E93&quot;/&gt;&lt;wsp:rsid wsp:val=&quot;6B6272BA&quot;/&gt;&lt;wsp:rsid wsp:val=&quot;6D5814A1&quot;/&gt;&lt;wsp:rsid wsp:val=&quot;6EC31DA1&quot;/&gt;&lt;wsp:rsid wsp:val=&quot;6F0179C4&quot;/&gt;&lt;wsp:rsid wsp:val=&quot;71D35B1D&quot;/&gt;&lt;wsp:rsid wsp:val=&quot;73A2363E&quot;/&gt;&lt;wsp:rsid wsp:val=&quot;73BA76AB&quot;/&gt;&lt;wsp:rsid wsp:val=&quot;74864E1F&quot;/&gt;&lt;wsp:rsid wsp:val=&quot;75E507FE&quot;/&gt;&lt;wsp:rsid wsp:val=&quot;762A50E3&quot;/&gt;&lt;wsp:rsid wsp:val=&quot;76832D14&quot;/&gt;&lt;wsp:rsid wsp:val=&quot;770120C4&quot;/&gt;&lt;wsp:rsid wsp:val=&quot;792621D5&quot;/&gt;&lt;wsp:rsid wsp:val=&quot;79CF15E2&quot;/&gt;&lt;wsp:rsid wsp:val=&quot;7B1A1859&quot;/&gt;&lt;wsp:rsid wsp:val=&quot;7D934810&quot;/&gt;&lt;wsp:rsid wsp:val=&quot;7D98132E&quot;/&gt;&lt;wsp:rsid wsp:val=&quot;7DBB021F&quot;/&gt;&lt;wsp:rsid wsp:val=&quot;7E502455&quot;/&gt;&lt;wsp:rsid wsp:val=&quot;7E6B465F&quot;/&gt;&lt;wsp:rsid wsp:val=&quot;7FF4188E&quot;/&gt;&lt;/wsp:rsids&gt;&lt;/w:docPr&gt;&lt;w:body&gt;&lt;wx:sect&gt;&lt;w:p wsp:rsidR=&quot;00000000&quot; wsp:rsidRDefault=&quot;00002AED&quot; wsp:rsidP=&quot;00002AED&quot;&gt;&lt;m:oMathPara&gt;&lt;m:oMath&gt;&lt;m:sSubSup&gt;&lt;m:sSubSupPr&gt;&lt;m:ctrlPr&gt;&lt;w:rPr&gt;&lt;w:rFonts w:ascii=&quot;Cambria Math&quot; w:h-ansi=&quot;Cambria Math&quot;/&gt;&lt;wx:font wx:val=&quot;Cambria Math&quot;/&gt;&lt;w:b-cs/&gt;&lt;w:i/&gt;&lt;w:sz-cs w:val=&quot;20&quot;/&gt;&lt;w:lang w:fareast=&quot;KO&quot;/&gt;&lt;/w:rPr&gt;&lt;/m:ctrlPr&gt;&lt;/m:sSubSupPr&gt;&lt;m:e&gt;&lt;m:r&gt;&lt;w:rPr&gt;&lt;w:rFonts w:ascii=&quot;Cambria Math&quot; w:h-ansi=&quot;Cambria Math&quot;/&gt;&lt;wx:font wx:val=&quot;Cambria Math&quot;/&gt;&lt;w:i/&gt;&lt;w:sz-cs w:val=&quot;20&quot;/&gt;&lt;w:lang w:fareast=&quot;KO&quot;/&gt;&lt;/w:rPr&gt;&lt;m:t&gt;N&lt;/m:t&gt;&lt;/m:r&gt;&lt;/m:e&gt;&lt;m:sub&gt;&lt;m:r&gt;&lt;m:rPr&gt;&lt;m:nor/&gt;&lt;/m:rPr&gt;&lt;w:rPr&gt;&lt;w:rFonts w:ascii=&quot;Times New Roman&quot; w:h-ansi=&quot;Times New Roman&quot;/&gt;&lt;wx:font wx:val=&quot;Times New Roman&quot;/&gt;&lt;w:b-cs/&gt;&lt;w:i/&gt;&lt;w:sz-cs w:val=&quot;20&quot;/&gt;&lt;w:lang w:fareast=&quot;KO&quot;/&gt;&lt;/w:rPr&gt;&lt;m:t&gt;slot&lt;/m:t&gt;&lt;/m:r&gt;&lt;/m:sub&gt;&lt;m:sup&gt;&lt;m:r&gt;&lt;m:rPr&gt;&lt;m:nor/&gt;&lt;/m:rPr&gt;&lt;w:rPr&gt;&lt;w:rFonts w:ascii=&quot;Times New Roman&quot; w:h-ansi=&quot;Times New Roman&quot;/&gt;&lt;wx:font wx:val=&quot;Times New Roman&quot;/&gt;&lt;w:b-cs/&gt;&lt;w:i/&gt;&lt;w:sz-cs w:val=&quot;20&quot;/&gt;&lt;w:lang w:fareast=&quot;KO&quot;/&gt;&lt;/w:rPr&gt;&lt;m:t&gt;subframe&lt;/m:t&gt;&lt;/m:r&gt;&lt;m:r&gt;&lt;w:rPr&gt;&lt;w:rFonts w:ascii=&quot;Cambria Math&quot; w:h-ansi=&quot;Cambria Math&quot;/&gt;&lt;wx:font wx:val=&quot;Cambria Math&quot;/&gt;&lt;w:i/&gt;&lt;w:sz-cs w:val=&quot;20&quot;/&gt;&lt;w:lang w:fareast=&quot;KO&quot;/&gt;&lt;/w:rPr&gt;&lt;m:t&gt;,μ&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New Roman" w:hAnsi="Times New Roman"/>
                <w:iCs/>
                <w:szCs w:val="20"/>
                <w:lang w:eastAsia="ko-KR"/>
              </w:rPr>
              <w:fldChar w:fldCharType="end"/>
            </w:r>
            <w:r>
              <w:rPr>
                <w:rFonts w:hint="eastAsia" w:ascii="Times New Roman" w:hAnsi="Times New Roman"/>
                <w:iCs/>
                <w:szCs w:val="20"/>
                <w:lang w:eastAsia="ko-KR"/>
              </w:rPr>
              <w:t xml:space="preserve"> is as defined in </w:t>
            </w:r>
            <w:r>
              <w:rPr>
                <w:rFonts w:ascii="Times New Roman" w:hAnsi="Times New Roman"/>
                <w:iCs/>
                <w:szCs w:val="20"/>
                <w:lang w:eastAsia="ko-KR"/>
              </w:rPr>
              <w:t>current</w:t>
            </w:r>
            <w:r>
              <w:rPr>
                <w:rFonts w:hint="eastAsia" w:ascii="Times New Roman" w:hAnsi="Times New Roman"/>
                <w:iCs/>
                <w:szCs w:val="20"/>
                <w:lang w:eastAsia="ko-KR"/>
              </w:rPr>
              <w:t xml:space="preserve"> specification</w:t>
            </w:r>
            <w:r>
              <w:rPr>
                <w:rFonts w:ascii="Times New Roman" w:hAnsi="Times New Roman"/>
                <w:iCs/>
                <w:szCs w:val="20"/>
                <w:lang w:eastAsia="ko-KR"/>
              </w:rPr>
              <w:t>.</w:t>
            </w:r>
          </w:p>
          <w:p>
            <w:pPr>
              <w:numPr>
                <w:ilvl w:val="2"/>
                <w:numId w:val="9"/>
              </w:numPr>
              <w:contextualSpacing/>
              <w:jc w:val="both"/>
              <w:rPr>
                <w:rFonts w:ascii="Times New Roman" w:hAnsi="Times New Roman"/>
                <w:szCs w:val="20"/>
                <w:lang w:eastAsia="ko-KR"/>
              </w:rPr>
            </w:pPr>
            <w:r>
              <w:rPr>
                <w:rFonts w:hint="eastAsia" w:ascii="Times New Roman" w:hAnsi="Times New Roman"/>
                <w:iCs/>
                <w:szCs w:val="20"/>
                <w:lang w:eastAsia="ko-KR"/>
              </w:rPr>
              <w:t xml:space="preserve">RAN4 to confirm that T_min can be equal to </w:t>
            </w:r>
            <w:r>
              <w:rPr>
                <w:rFonts w:ascii="Times New Roman" w:hAnsi="Times New Roman"/>
                <w:szCs w:val="20"/>
                <w:lang w:eastAsia="ko-KR"/>
              </w:rPr>
              <w:fldChar w:fldCharType="begin"/>
            </w:r>
            <w:r>
              <w:rPr>
                <w:rFonts w:ascii="Times New Roman" w:hAnsi="Times New Roman"/>
                <w:szCs w:val="20"/>
                <w:lang w:eastAsia="ko-KR"/>
              </w:rPr>
              <w:instrText xml:space="preserve"> QUOTE </w:instrText>
            </w:r>
            <w:r>
              <w:rPr>
                <w:rFonts w:hint="eastAsia"/>
                <w:position w:val="-8"/>
              </w:rPr>
              <w:pict>
                <v:shape id="_x0000_i1029" o:spt="75" type="#_x0000_t75" style="height:15pt;width:6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defaultTabStop w:val=&quot;799&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27A5&quot;/&gt;&lt;wsp:rsid wsp:val=&quot;000049DC&quot;/&gt;&lt;wsp:rsid wsp:val=&quot;00006115&quot;/&gt;&lt;wsp:rsid wsp:val=&quot;00006E91&quot;/&gt;&lt;wsp:rsid wsp:val=&quot;00013C50&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5694&quot;/&gt;&lt;wsp:rsid wsp:val=&quot;0002646D&quot;/&gt;&lt;wsp:rsid wsp:val=&quot;0002658D&quot;/&gt;&lt;wsp:rsid wsp:val=&quot;00027418&quot;/&gt;&lt;wsp:rsid wsp:val=&quot;00027793&quot;/&gt;&lt;wsp:rsid wsp:val=&quot;00030286&quot;/&gt;&lt;wsp:rsid wsp:val=&quot;000321DC&quot;/&gt;&lt;wsp:rsid wsp:val=&quot;00032D66&quot;/&gt;&lt;wsp:rsid wsp:val=&quot;00034896&quot;/&gt;&lt;wsp:rsid wsp:val=&quot;00034D4D&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1EEE&quot;/&gt;&lt;wsp:rsid wsp:val=&quot;00063AE7&quot;/&gt;&lt;wsp:rsid wsp:val=&quot;00064CDB&quot;/&gt;&lt;wsp:rsid wsp:val=&quot;000666C0&quot;/&gt;&lt;wsp:rsid wsp:val=&quot;00070E52&quot;/&gt;&lt;wsp:rsid wsp:val=&quot;00073A64&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0F2&quot;/&gt;&lt;wsp:rsid wsp:val=&quot;000969AF&quot;/&gt;&lt;wsp:rsid wsp:val=&quot;000A0641&quot;/&gt;&lt;wsp:rsid wsp:val=&quot;000A3922&quot;/&gt;&lt;wsp:rsid wsp:val=&quot;000A57B3&quot;/&gt;&lt;wsp:rsid wsp:val=&quot;000A5EF6&quot;/&gt;&lt;wsp:rsid wsp:val=&quot;000B0DA5&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229&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0F0529&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411F&quot;/&gt;&lt;wsp:rsid wsp:val=&quot;001452E3&quot;/&gt;&lt;wsp:rsid wsp:val=&quot;00145E2B&quot;/&gt;&lt;wsp:rsid wsp:val=&quot;0014603D&quot;/&gt;&lt;wsp:rsid wsp:val=&quot;00146D61&quot;/&gt;&lt;wsp:rsid wsp:val=&quot;001474C4&quot;/&gt;&lt;wsp:rsid wsp:val=&quot;00150C17&quot;/&gt;&lt;wsp:rsid wsp:val=&quot;0015249E&quot;/&gt;&lt;wsp:rsid wsp:val=&quot;00154717&quot;/&gt;&lt;wsp:rsid wsp:val=&quot;00155082&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0489&quot;/&gt;&lt;wsp:rsid wsp:val=&quot;001804F1&quot;/&gt;&lt;wsp:rsid wsp:val=&quot;001810BD&quot;/&gt;&lt;wsp:rsid wsp:val=&quot;00181906&quot;/&gt;&lt;wsp:rsid wsp:val=&quot;00182437&quot;/&gt;&lt;wsp:rsid wsp:val=&quot;00182D68&quot;/&gt;&lt;wsp:rsid wsp:val=&quot;00184862&quot;/&gt;&lt;wsp:rsid wsp:val=&quot;00184D3E&quot;/&gt;&lt;wsp:rsid wsp:val=&quot;00185777&quot;/&gt;&lt;wsp:rsid wsp:val=&quot;00185CFE&quot;/&gt;&lt;wsp:rsid wsp:val=&quot;00186520&quot;/&gt;&lt;wsp:rsid wsp:val=&quot;00191AC9&quot;/&gt;&lt;wsp:rsid wsp:val=&quot;001941E6&quot;/&gt;&lt;wsp:rsid wsp:val=&quot;0019426E&quot;/&gt;&lt;wsp:rsid wsp:val=&quot;00195BCA&quot;/&gt;&lt;wsp:rsid wsp:val=&quot;00197AA5&quot;/&gt;&lt;wsp:rsid wsp:val=&quot;001A0414&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79F&quot;/&gt;&lt;wsp:rsid wsp:val=&quot;001C3FFD&quot;/&gt;&lt;wsp:rsid wsp:val=&quot;001C40D9&quot;/&gt;&lt;wsp:rsid wsp:val=&quot;001C5621&quot;/&gt;&lt;wsp:rsid wsp:val=&quot;001C74BE&quot;/&gt;&lt;wsp:rsid wsp:val=&quot;001C7C35&quot;/&gt;&lt;wsp:rsid wsp:val=&quot;001D0216&quot;/&gt;&lt;wsp:rsid wsp:val=&quot;001D04E7&quot;/&gt;&lt;wsp:rsid wsp:val=&quot;001D150F&quot;/&gt;&lt;wsp:rsid wsp:val=&quot;001D41B7&quot;/&gt;&lt;wsp:rsid wsp:val=&quot;001D52A5&quot;/&gt;&lt;wsp:rsid wsp:val=&quot;001D5746&quot;/&gt;&lt;wsp:rsid wsp:val=&quot;001D6962&quot;/&gt;&lt;wsp:rsid wsp:val=&quot;001D6F38&quot;/&gt;&lt;wsp:rsid wsp:val=&quot;001D7AE8&quot;/&gt;&lt;wsp:rsid wsp:val=&quot;001D7CDA&quot;/&gt;&lt;wsp:rsid wsp:val=&quot;001E3299&quot;/&gt;&lt;wsp:rsid wsp:val=&quot;001E41BC&quot;/&gt;&lt;wsp:rsid wsp:val=&quot;001E4536&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1F3928&quot;/&gt;&lt;wsp:rsid wsp:val=&quot;002004B2&quot;/&gt;&lt;wsp:rsid wsp:val=&quot;00202C71&quot;/&gt;&lt;wsp:rsid wsp:val=&quot;0020564C&quot;/&gt;&lt;wsp:rsid wsp:val=&quot;00206F84&quot;/&gt;&lt;wsp:rsid wsp:val=&quot;00210B7B&quot;/&gt;&lt;wsp:rsid wsp:val=&quot;00211448&quot;/&gt;&lt;wsp:rsid wsp:val=&quot;0021214B&quot;/&gt;&lt;wsp:rsid wsp:val=&quot;00213E6A&quot;/&gt;&lt;wsp:rsid wsp:val=&quot;00214F2A&quot;/&gt;&lt;wsp:rsid wsp:val=&quot;00216804&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0826&quot;/&gt;&lt;wsp:rsid wsp:val=&quot;0025116B&quot;/&gt;&lt;wsp:rsid wsp:val=&quot;00251A50&quot;/&gt;&lt;wsp:rsid wsp:val=&quot;002526D0&quot;/&gt;&lt;wsp:rsid wsp:val=&quot;0025466B&quot;/&gt;&lt;wsp:rsid wsp:val=&quot;00254FA9&quot;/&gt;&lt;wsp:rsid wsp:val=&quot;002556B6&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D9B&quot;/&gt;&lt;wsp:rsid wsp:val=&quot;00282E2C&quot;/&gt;&lt;wsp:rsid wsp:val=&quot;00282FD2&quot;/&gt;&lt;wsp:rsid wsp:val=&quot;00284207&quot;/&gt;&lt;wsp:rsid wsp:val=&quot;00285E3A&quot;/&gt;&lt;wsp:rsid wsp:val=&quot;00286532&quot;/&gt;&lt;wsp:rsid wsp:val=&quot;002912A8&quot;/&gt;&lt;wsp:rsid wsp:val=&quot;00293C36&quot;/&gt;&lt;wsp:rsid wsp:val=&quot;00293DB3&quot;/&gt;&lt;wsp:rsid wsp:val=&quot;0029433B&quot;/&gt;&lt;wsp:rsid wsp:val=&quot;00294EFB&quot;/&gt;&lt;wsp:rsid wsp:val=&quot;0029757E&quot;/&gt;&lt;wsp:rsid wsp:val=&quot;00297DD6&quot;/&gt;&lt;wsp:rsid wsp:val=&quot;00297DED&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6FA4&quot;/&gt;&lt;wsp:rsid wsp:val=&quot;002C7702&quot;/&gt;&lt;wsp:rsid wsp:val=&quot;002D0410&quot;/&gt;&lt;wsp:rsid wsp:val=&quot;002D1A27&quot;/&gt;&lt;wsp:rsid wsp:val=&quot;002D2CF7&quot;/&gt;&lt;wsp:rsid wsp:val=&quot;002D4D40&quot;/&gt;&lt;wsp:rsid wsp:val=&quot;002D5218&quot;/&gt;&lt;wsp:rsid wsp:val=&quot;002D6E7D&quot;/&gt;&lt;wsp:rsid wsp:val=&quot;002E1DF6&quot;/&gt;&lt;wsp:rsid wsp:val=&quot;002E687D&quot;/&gt;&lt;wsp:rsid wsp:val=&quot;002E74B5&quot;/&gt;&lt;wsp:rsid wsp:val=&quot;002F0759&quot;/&gt;&lt;wsp:rsid wsp:val=&quot;002F10CA&quot;/&gt;&lt;wsp:rsid wsp:val=&quot;002F1E2B&quot;/&gt;&lt;wsp:rsid wsp:val=&quot;002F2880&quot;/&gt;&lt;wsp:rsid wsp:val=&quot;002F4411&quot;/&gt;&lt;wsp:rsid wsp:val=&quot;002F5259&quot;/&gt;&lt;wsp:rsid wsp:val=&quot;002F57D7&quot;/&gt;&lt;wsp:rsid wsp:val=&quot;002F64B1&quot;/&gt;&lt;wsp:rsid wsp:val=&quot;002F7271&quot;/&gt;&lt;wsp:rsid wsp:val=&quot;002F739A&quot;/&gt;&lt;wsp:rsid wsp:val=&quot;00302398&quot;/&gt;&lt;wsp:rsid wsp:val=&quot;00304116&quot;/&gt;&lt;wsp:rsid wsp:val=&quot;003043B3&quot;/&gt;&lt;wsp:rsid wsp:val=&quot;0030490C&quot;/&gt;&lt;wsp:rsid wsp:val=&quot;0030546D&quot;/&gt;&lt;wsp:rsid wsp:val=&quot;0031112E&quot;/&gt;&lt;wsp:rsid wsp:val=&quot;00312317&quot;/&gt;&lt;wsp:rsid wsp:val=&quot;00313594&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2362&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434D&quot;/&gt;&lt;wsp:rsid wsp:val=&quot;00374380&quot;/&gt;&lt;wsp:rsid wsp:val=&quot;00374F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3028&quot;/&gt;&lt;wsp:rsid wsp:val=&quot;00394116&quot;/&gt;&lt;wsp:rsid wsp:val=&quot;00394AC8&quot;/&gt;&lt;wsp:rsid wsp:val=&quot;003957ED&quot;/&gt;&lt;wsp:rsid wsp:val=&quot;00397A6D&quot;/&gt;&lt;wsp:rsid wsp:val=&quot;003A135F&quot;/&gt;&lt;wsp:rsid wsp:val=&quot;003A4382&quot;/&gt;&lt;wsp:rsid wsp:val=&quot;003A4607&quot;/&gt;&lt;wsp:rsid wsp:val=&quot;003A72FB&quot;/&gt;&lt;wsp:rsid wsp:val=&quot;003A7CEB&quot;/&gt;&lt;wsp:rsid wsp:val=&quot;003B0BF8&quot;/&gt;&lt;wsp:rsid wsp:val=&quot;003B2B12&quot;/&gt;&lt;wsp:rsid wsp:val=&quot;003B30EF&quot;/&gt;&lt;wsp:rsid wsp:val=&quot;003B3DC0&quot;/&gt;&lt;wsp:rsid wsp:val=&quot;003B6548&quot;/&gt;&lt;wsp:rsid wsp:val=&quot;003B7BF9&quot;/&gt;&lt;wsp:rsid wsp:val=&quot;003C04F9&quot;/&gt;&lt;wsp:rsid wsp:val=&quot;003C1E97&quot;/&gt;&lt;wsp:rsid wsp:val=&quot;003C3033&quot;/&gt;&lt;wsp:rsid wsp:val=&quot;003C4584&quot;/&gt;&lt;wsp:rsid wsp:val=&quot;003C4EAC&quot;/&gt;&lt;wsp:rsid wsp:val=&quot;003C5C06&quot;/&gt;&lt;wsp:rsid wsp:val=&quot;003C6728&quot;/&gt;&lt;wsp:rsid wsp:val=&quot;003D194E&quot;/&gt;&lt;wsp:rsid wsp:val=&quot;003D33A8&quot;/&gt;&lt;wsp:rsid wsp:val=&quot;003D43C9&quot;/&gt;&lt;wsp:rsid wsp:val=&quot;003D4D92&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33B7&quot;/&gt;&lt;wsp:rsid wsp:val=&quot;003F39F6&quot;/&gt;&lt;wsp:rsid wsp:val=&quot;003F4797&quot;/&gt;&lt;wsp:rsid wsp:val=&quot;003F47B5&quot;/&gt;&lt;wsp:rsid wsp:val=&quot;003F7A24&quot;/&gt;&lt;wsp:rsid wsp:val=&quot;004003E8&quot;/&gt;&lt;wsp:rsid wsp:val=&quot;004019CB&quot;/&gt;&lt;wsp:rsid wsp:val=&quot;0040222B&quot;/&gt;&lt;wsp:rsid wsp:val=&quot;004022CC&quot;/&gt;&lt;wsp:rsid wsp:val=&quot;00402831&quot;/&gt;&lt;wsp:rsid wsp:val=&quot;00403018&quot;/&gt;&lt;wsp:rsid wsp:val=&quot;004032F1&quot;/&gt;&lt;wsp:rsid wsp:val=&quot;004035F6&quot;/&gt;&lt;wsp:rsid wsp:val=&quot;00403EDF&quot;/&gt;&lt;wsp:rsid wsp:val=&quot;00404DB1&quot;/&gt;&lt;wsp:rsid wsp:val=&quot;004109C3&quot;/&gt;&lt;wsp:rsid wsp:val=&quot;00412147&quot;/&gt;&lt;wsp:rsid wsp:val=&quot;00413C55&quot;/&gt;&lt;wsp:rsid wsp:val=&quot;00414181&quot;/&gt;&lt;wsp:rsid wsp:val=&quot;004159B2&quot;/&gt;&lt;wsp:rsid wsp:val=&quot;0041624E&quot;/&gt;&lt;wsp:rsid wsp:val=&quot;0041782C&quot;/&gt;&lt;wsp:rsid wsp:val=&quot;004200D8&quot;/&gt;&lt;wsp:rsid wsp:val=&quot;004206FA&quot;/&gt;&lt;wsp:rsid wsp:val=&quot;004213CE&quot;/&gt;&lt;wsp:rsid wsp:val=&quot;004223F1&quot;/&gt;&lt;wsp:rsid wsp:val=&quot;00424AFD&quot;/&gt;&lt;wsp:rsid wsp:val=&quot;00424C9C&quot;/&gt;&lt;wsp:rsid wsp:val=&quot;00430171&quot;/&gt;&lt;wsp:rsid wsp:val=&quot;00431123&quot;/&gt;&lt;wsp:rsid wsp:val=&quot;00431C26&quot;/&gt;&lt;wsp:rsid wsp:val=&quot;00431E83&quot;/&gt;&lt;wsp:rsid wsp:val=&quot;004329DE&quot;/&gt;&lt;wsp:rsid wsp:val=&quot;00432F62&quot;/&gt;&lt;wsp:rsid wsp:val=&quot;004345FD&quot;/&gt;&lt;wsp:rsid wsp:val=&quot;0043707E&quot;/&gt;&lt;wsp:rsid wsp:val=&quot;00437B5E&quot;/&gt;&lt;wsp:rsid wsp:val=&quot;0044004B&quot;/&gt;&lt;wsp:rsid wsp:val=&quot;0044021C&quot;/&gt;&lt;wsp:rsid wsp:val=&quot;00441B41&quot;/&gt;&lt;wsp:rsid wsp:val=&quot;00444E6F&quot;/&gt;&lt;wsp:rsid wsp:val=&quot;00444EC1&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895&quot;/&gt;&lt;wsp:rsid wsp:val=&quot;00471F19&quot;/&gt;&lt;wsp:rsid wsp:val=&quot;00473384&quot;/&gt;&lt;wsp:rsid wsp:val=&quot;00474298&quot;/&gt;&lt;wsp:rsid wsp:val=&quot;00474C18&quot;/&gt;&lt;wsp:rsid wsp:val=&quot;0048214B&quot;/&gt;&lt;wsp:rsid wsp:val=&quot;004826E7&quot;/&gt;&lt;wsp:rsid wsp:val=&quot;00485CEE&quot;/&gt;&lt;wsp:rsid wsp:val=&quot;004874D3&quot;/&gt;&lt;wsp:rsid wsp:val=&quot;004878E4&quot;/&gt;&lt;wsp:rsid wsp:val=&quot;0049013E&quot;/&gt;&lt;wsp:rsid wsp:val=&quot;004902E0&quot;/&gt;&lt;wsp:rsid wsp:val=&quot;00490947&quot;/&gt;&lt;wsp:rsid wsp:val=&quot;00490B8F&quot;/&gt;&lt;wsp:rsid wsp:val=&quot;004910AC&quot;/&gt;&lt;wsp:rsid wsp:val=&quot;00492B8D&quot;/&gt;&lt;wsp:rsid wsp:val=&quot;004945F3&quot;/&gt;&lt;wsp:rsid wsp:val=&quot;00494C99&quot;/&gt;&lt;wsp:rsid wsp:val=&quot;004952EA&quot;/&gt;&lt;wsp:rsid wsp:val=&quot;004A1B0B&quot;/&gt;&lt;wsp:rsid wsp:val=&quot;004A29F5&quot;/&gt;&lt;wsp:rsid wsp:val=&quot;004A2F9D&quot;/&gt;&lt;wsp:rsid wsp:val=&quot;004A4203&quot;/&gt;&lt;wsp:rsid wsp:val=&quot;004A4333&quot;/&gt;&lt;wsp:rsid wsp:val=&quot;004A5270&quot;/&gt;&lt;wsp:rsid wsp:val=&quot;004A6725&quot;/&gt;&lt;wsp:rsid wsp:val=&quot;004A6728&quot;/&gt;&lt;wsp:rsid wsp:val=&quot;004B0FC0&quot;/&gt;&lt;wsp:rsid wsp:val=&quot;004B1BEE&quot;/&gt;&lt;wsp:rsid wsp:val=&quot;004B2359&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2546&quot;/&gt;&lt;wsp:rsid wsp:val=&quot;004D2F5B&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E685E&quot;/&gt;&lt;wsp:rsid wsp:val=&quot;004F21E5&quot;/&gt;&lt;wsp:rsid wsp:val=&quot;004F2E30&quot;/&gt;&lt;wsp:rsid wsp:val=&quot;004F344E&quot;/&gt;&lt;wsp:rsid wsp:val=&quot;004F428C&quot;/&gt;&lt;wsp:rsid wsp:val=&quot;004F6828&quot;/&gt;&lt;wsp:rsid wsp:val=&quot;004F6879&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29FE&quot;/&gt;&lt;wsp:rsid wsp:val=&quot;00514701&quot;/&gt;&lt;wsp:rsid wsp:val=&quot;00514C06&quot;/&gt;&lt;wsp:rsid wsp:val=&quot;00515ADF&quot;/&gt;&lt;wsp:rsid wsp:val=&quot;00516B1D&quot;/&gt;&lt;wsp:rsid wsp:val=&quot;0052072B&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C4E&quot;/&gt;&lt;wsp:rsid wsp:val=&quot;00543EA0&quot;/&gt;&lt;wsp:rsid wsp:val=&quot;0054487A&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0B4F&quot;/&gt;&lt;wsp:rsid wsp:val=&quot;005634EC&quot;/&gt;&lt;wsp:rsid wsp:val=&quot;00563BDE&quot;/&gt;&lt;wsp:rsid wsp:val=&quot;005645C5&quot;/&gt;&lt;wsp:rsid wsp:val=&quot;0056693D&quot;/&gt;&lt;wsp:rsid wsp:val=&quot;0057032E&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465F&quot;/&gt;&lt;wsp:rsid wsp:val=&quot;005765F4&quot;/&gt;&lt;wsp:rsid wsp:val=&quot;005771D3&quot;/&gt;&lt;wsp:rsid wsp:val=&quot;0057754D&quot;/&gt;&lt;wsp:rsid wsp:val=&quot;00582CFF&quot;/&gt;&lt;wsp:rsid wsp:val=&quot;005849FF&quot;/&gt;&lt;wsp:rsid wsp:val=&quot;00585903&quot;/&gt;&lt;wsp:rsid wsp:val=&quot;00585CC3&quot;/&gt;&lt;wsp:rsid wsp:val=&quot;00587189&quot;/&gt;&lt;wsp:rsid wsp:val=&quot;00587DE1&quot;/&gt;&lt;wsp:rsid wsp:val=&quot;0059060C&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4B91&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07A65&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178C1&quot;/&gt;&lt;wsp:rsid wsp:val=&quot;00620ECF&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819&quot;/&gt;&lt;wsp:rsid wsp:val=&quot;006429EB&quot;/&gt;&lt;wsp:rsid wsp:val=&quot;006432CC&quot;/&gt;&lt;wsp:rsid wsp:val=&quot;006438C1&quot;/&gt;&lt;wsp:rsid wsp:val=&quot;00644560&quot;/&gt;&lt;wsp:rsid wsp:val=&quot;00645134&quot;/&gt;&lt;wsp:rsid wsp:val=&quot;00645247&quot;/&gt;&lt;wsp:rsid wsp:val=&quot;00645CFD&quot;/&gt;&lt;wsp:rsid wsp:val=&quot;00645E6A&quot;/&gt;&lt;wsp:rsid wsp:val=&quot;0065074B&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5342&quot;/&gt;&lt;wsp:rsid wsp:val=&quot;0067658D&quot;/&gt;&lt;wsp:rsid wsp:val=&quot;00677CF1&quot;/&gt;&lt;wsp:rsid wsp:val=&quot;00677E9F&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96847&quot;/&gt;&lt;wsp:rsid wsp:val=&quot;006A255C&quot;/&gt;&lt;wsp:rsid wsp:val=&quot;006A2899&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16AE&quot;/&gt;&lt;wsp:rsid wsp:val=&quot;006C274B&quot;/&gt;&lt;wsp:rsid wsp:val=&quot;006C3F49&quot;/&gt;&lt;wsp:rsid wsp:val=&quot;006C50EE&quot;/&gt;&lt;wsp:rsid wsp:val=&quot;006C6AE2&quot;/&gt;&lt;wsp:rsid wsp:val=&quot;006C7A4B&quot;/&gt;&lt;wsp:rsid wsp:val=&quot;006D130D&quot;/&gt;&lt;wsp:rsid wsp:val=&quot;006D20DA&quot;/&gt;&lt;wsp:rsid wsp:val=&quot;006D3165&quot;/&gt;&lt;wsp:rsid wsp:val=&quot;006D7A0E&quot;/&gt;&lt;wsp:rsid wsp:val=&quot;006E1596&quot;/&gt;&lt;wsp:rsid wsp:val=&quot;006E1FF3&quot;/&gt;&lt;wsp:rsid wsp:val=&quot;006E29B9&quot;/&gt;&lt;wsp:rsid wsp:val=&quot;006E407E&quot;/&gt;&lt;wsp:rsid wsp:val=&quot;006E5673&quot;/&gt;&lt;wsp:rsid wsp:val=&quot;006E66DD&quot;/&gt;&lt;wsp:rsid wsp:val=&quot;006F0FB8&quot;/&gt;&lt;wsp:rsid wsp:val=&quot;006F135C&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15F0C&quot;/&gt;&lt;wsp:rsid wsp:val=&quot;007203C8&quot;/&gt;&lt;wsp:rsid wsp:val=&quot;00720496&quot;/&gt;&lt;wsp:rsid wsp:val=&quot;00721545&quot;/&gt;&lt;wsp:rsid wsp:val=&quot;0072164E&quot;/&gt;&lt;wsp:rsid wsp:val=&quot;00721704&quot;/&gt;&lt;wsp:rsid wsp:val=&quot;00722A0A&quot;/&gt;&lt;wsp:rsid wsp:val=&quot;00722C89&quot;/&gt;&lt;wsp:rsid wsp:val=&quot;0072399E&quot;/&gt;&lt;wsp:rsid wsp:val=&quot;00724973&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1069&quot;/&gt;&lt;wsp:rsid wsp:val=&quot;007560EA&quot;/&gt;&lt;wsp:rsid wsp:val=&quot;00756874&quot;/&gt;&lt;wsp:rsid wsp:val=&quot;00757025&quot;/&gt;&lt;wsp:rsid wsp:val=&quot;0075736E&quot;/&gt;&lt;wsp:rsid wsp:val=&quot;00760E00&quot;/&gt;&lt;wsp:rsid wsp:val=&quot;00761570&quot;/&gt;&lt;wsp:rsid wsp:val=&quot;00762BCE&quot;/&gt;&lt;wsp:rsid wsp:val=&quot;00763C91&quot;/&gt;&lt;wsp:rsid wsp:val=&quot;00764B12&quot;/&gt;&lt;wsp:rsid wsp:val=&quot;0076799C&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371E&quot;/&gt;&lt;wsp:rsid wsp:val=&quot;00784592&quot;/&gt;&lt;wsp:rsid wsp:val=&quot;00784890&quot;/&gt;&lt;wsp:rsid wsp:val=&quot;00784BF2&quot;/&gt;&lt;wsp:rsid wsp:val=&quot;00785E7F&quot;/&gt;&lt;wsp:rsid wsp:val=&quot;007860DD&quot;/&gt;&lt;wsp:rsid wsp:val=&quot;0078634F&quot;/&gt;&lt;wsp:rsid wsp:val=&quot;007864FE&quot;/&gt;&lt;wsp:rsid wsp:val=&quot;00787317&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4543&quot;/&gt;&lt;wsp:rsid wsp:val=&quot;007D6E7F&quot;/&gt;&lt;wsp:rsid wsp:val=&quot;007E116C&quot;/&gt;&lt;wsp:rsid wsp:val=&quot;007E3014&quot;/&gt;&lt;wsp:rsid wsp:val=&quot;007E4353&quot;/&gt;&lt;wsp:rsid wsp:val=&quot;007E53F6&quot;/&gt;&lt;wsp:rsid wsp:val=&quot;007E5906&quot;/&gt;&lt;wsp:rsid wsp:val=&quot;007E5EE9&quot;/&gt;&lt;wsp:rsid wsp:val=&quot;007E7061&quot;/&gt;&lt;wsp:rsid wsp:val=&quot;007E79BE&quot;/&gt;&lt;wsp:rsid wsp:val=&quot;007E7FCB&quot;/&gt;&lt;wsp:rsid wsp:val=&quot;007F21CD&quot;/&gt;&lt;wsp:rsid wsp:val=&quot;007F2445&quot;/&gt;&lt;wsp:rsid wsp:val=&quot;007F316D&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1446D&quot;/&gt;&lt;wsp:rsid wsp:val=&quot;00814699&quot;/&gt;&lt;wsp:rsid wsp:val=&quot;00817743&quot;/&gt;&lt;wsp:rsid wsp:val=&quot;00821556&quot;/&gt;&lt;wsp:rsid wsp:val=&quot;00821F2C&quot;/&gt;&lt;wsp:rsid wsp:val=&quot;008220C7&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1E28&quot;/&gt;&lt;wsp:rsid wsp:val=&quot;00842BFB&quot;/&gt;&lt;wsp:rsid wsp:val=&quot;00847786&quot;/&gt;&lt;wsp:rsid wsp:val=&quot;0085048F&quot;/&gt;&lt;wsp:rsid wsp:val=&quot;00853901&quot;/&gt;&lt;wsp:rsid wsp:val=&quot;00853E28&quot;/&gt;&lt;wsp:rsid wsp:val=&quot;008543CB&quot;/&gt;&lt;wsp:rsid wsp:val=&quot;00854556&quot;/&gt;&lt;wsp:rsid wsp:val=&quot;00854AFF&quot;/&gt;&lt;wsp:rsid wsp:val=&quot;00855E7E&quot;/&gt;&lt;wsp:rsid wsp:val=&quot;0085677D&quot;/&gt;&lt;wsp:rsid wsp:val=&quot;008609BD&quot;/&gt;&lt;wsp:rsid wsp:val=&quot;0086247A&quot;/&gt;&lt;wsp:rsid wsp:val=&quot;008626F6&quot;/&gt;&lt;wsp:rsid wsp:val=&quot;00864E0E&quot;/&gt;&lt;wsp:rsid wsp:val=&quot;008677F8&quot;/&gt;&lt;wsp:rsid wsp:val=&quot;00867EC2&quot;/&gt;&lt;wsp:rsid wsp:val=&quot;00870E43&quot;/&gt;&lt;wsp:rsid wsp:val=&quot;008723F6&quot;/&gt;&lt;wsp:rsid wsp:val=&quot;0087282C&quot;/&gt;&lt;wsp:rsid wsp:val=&quot;00872B47&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1B8E&quot;/&gt;&lt;wsp:rsid wsp:val=&quot;00882022&quot;/&gt;&lt;wsp:rsid wsp:val=&quot;008844F1&quot;/&gt;&lt;wsp:rsid wsp:val=&quot;00884ADD&quot;/&gt;&lt;wsp:rsid wsp:val=&quot;0088611D&quot;/&gt;&lt;wsp:rsid wsp:val=&quot;00886256&quot;/&gt;&lt;wsp:rsid wsp:val=&quot;00890A01&quot;/&gt;&lt;wsp:rsid wsp:val=&quot;00891CC4&quot;/&gt;&lt;wsp:rsid wsp:val=&quot;00896910&quot;/&gt;&lt;wsp:rsid wsp:val=&quot;00896BCB&quot;/&gt;&lt;wsp:rsid wsp:val=&quot;0089715E&quot;/&gt;&lt;wsp:rsid wsp:val=&quot;00897954&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362C&quot;/&gt;&lt;wsp:rsid wsp:val=&quot;00904C0E&quot;/&gt;&lt;wsp:rsid wsp:val=&quot;0090517A&quot;/&gt;&lt;wsp:rsid wsp:val=&quot;0090650B&quot;/&gt;&lt;wsp:rsid wsp:val=&quot;009075A4&quot;/&gt;&lt;wsp:rsid wsp:val=&quot;00907C38&quot;/&gt;&lt;wsp:rsid wsp:val=&quot;00910330&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5F67&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5&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0BA&quot;/&gt;&lt;wsp:rsid wsp:val=&quot;00952BD8&quot;/&gt;&lt;wsp:rsid wsp:val=&quot;00953883&quot;/&gt;&lt;wsp:rsid wsp:val=&quot;00953FB6&quot;/&gt;&lt;wsp:rsid wsp:val=&quot;00954DFA&quot;/&gt;&lt;wsp:rsid wsp:val=&quot;00954ED7&quot;/&gt;&lt;wsp:rsid wsp:val=&quot;009559A2&quot;/&gt;&lt;wsp:rsid wsp:val=&quot;009571B9&quot;/&gt;&lt;wsp:rsid wsp:val=&quot;00957FBE&quot;/&gt;&lt;wsp:rsid wsp:val=&quot;00960060&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1E03&quot;/&gt;&lt;wsp:rsid wsp:val=&quot;00973F28&quot;/&gt;&lt;wsp:rsid wsp:val=&quot;00973FA2&quot;/&gt;&lt;wsp:rsid wsp:val=&quot;00974866&quot;/&gt;&lt;wsp:rsid wsp:val=&quot;009762CD&quot;/&gt;&lt;wsp:rsid wsp:val=&quot;00980491&quot;/&gt;&lt;wsp:rsid wsp:val=&quot;009808F5&quot;/&gt;&lt;wsp:rsid wsp:val=&quot;00981D9F&quot;/&gt;&lt;wsp:rsid wsp:val=&quot;00982DA0&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1F5E&quot;/&gt;&lt;wsp:rsid wsp:val=&quot;009D25E3&quot;/&gt;&lt;wsp:rsid wsp:val=&quot;009D49BC&quot;/&gt;&lt;wsp:rsid wsp:val=&quot;009D6963&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1151&quot;/&gt;&lt;wsp:rsid wsp:val=&quot;009F46E3&quot;/&gt;&lt;wsp:rsid wsp:val=&quot;009F4830&quot;/&gt;&lt;wsp:rsid wsp:val=&quot;009F69FB&quot;/&gt;&lt;wsp:rsid wsp:val=&quot;00A0110D&quot;/&gt;&lt;wsp:rsid wsp:val=&quot;00A04FA4&quot;/&gt;&lt;wsp:rsid wsp:val=&quot;00A07D2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2CC3&quot;/&gt;&lt;wsp:rsid wsp:val=&quot;00A63863&quot;/&gt;&lt;wsp:rsid wsp:val=&quot;00A64301&quot;/&gt;&lt;wsp:rsid wsp:val=&quot;00A667FD&quot;/&gt;&lt;wsp:rsid wsp:val=&quot;00A71167&quot;/&gt;&lt;wsp:rsid wsp:val=&quot;00A71D04&quot;/&gt;&lt;wsp:rsid wsp:val=&quot;00A72D98&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1ED3&quot;/&gt;&lt;wsp:rsid wsp:val=&quot;00A924D1&quot;/&gt;&lt;wsp:rsid wsp:val=&quot;00A95126&quot;/&gt;&lt;wsp:rsid wsp:val=&quot;00A9661B&quot;/&gt;&lt;wsp:rsid wsp:val=&quot;00AA09D7&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6A75&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1FD&quot;/&gt;&lt;wsp:rsid wsp:val=&quot;00B027F4&quot;/&gt;&lt;wsp:rsid wsp:val=&quot;00B02CFA&quot;/&gt;&lt;wsp:rsid wsp:val=&quot;00B04276&quot;/&gt;&lt;wsp:rsid wsp:val=&quot;00B042C3&quot;/&gt;&lt;wsp:rsid wsp:val=&quot;00B047FB&quot;/&gt;&lt;wsp:rsid wsp:val=&quot;00B057B7&quot;/&gt;&lt;wsp:rsid wsp:val=&quot;00B13627&quot;/&gt;&lt;wsp:rsid wsp:val=&quot;00B13801&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36AC4&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2BC&quot;/&gt;&lt;wsp:rsid wsp:val=&quot;00B51372&quot;/&gt;&lt;wsp:rsid wsp:val=&quot;00B51987&quot;/&gt;&lt;wsp:rsid wsp:val=&quot;00B519BD&quot;/&gt;&lt;wsp:rsid wsp:val=&quot;00B52708&quot;/&gt;&lt;wsp:rsid wsp:val=&quot;00B529BC&quot;/&gt;&lt;wsp:rsid wsp:val=&quot;00B52B32&quot;/&gt;&lt;wsp:rsid wsp:val=&quot;00B54F4D&quot;/&gt;&lt;wsp:rsid wsp:val=&quot;00B55528&quot;/&gt;&lt;wsp:rsid wsp:val=&quot;00B55621&quot;/&gt;&lt;wsp:rsid wsp:val=&quot;00B55DB1&quot;/&gt;&lt;wsp:rsid wsp:val=&quot;00B56F1C&quot;/&gt;&lt;wsp:rsid wsp:val=&quot;00B601DC&quot;/&gt;&lt;wsp:rsid wsp:val=&quot;00B616D7&quot;/&gt;&lt;wsp:rsid wsp:val=&quot;00B631FD&quot;/&gt;&lt;wsp:rsid wsp:val=&quot;00B63624&quot;/&gt;&lt;wsp:rsid wsp:val=&quot;00B639F2&quot;/&gt;&lt;wsp:rsid wsp:val=&quot;00B640E8&quot;/&gt;&lt;wsp:rsid wsp:val=&quot;00B65473&quot;/&gt;&lt;wsp:rsid wsp:val=&quot;00B66FDF&quot;/&gt;&lt;wsp:rsid wsp:val=&quot;00B70F7C&quot;/&gt;&lt;wsp:rsid wsp:val=&quot;00B7219D&quot;/&gt;&lt;wsp:rsid wsp:val=&quot;00B727C9&quot;/&gt;&lt;wsp:rsid wsp:val=&quot;00B74008&quot;/&gt;&lt;wsp:rsid wsp:val=&quot;00B747D3&quot;/&gt;&lt;wsp:rsid wsp:val=&quot;00B75DE1&quot;/&gt;&lt;wsp:rsid wsp:val=&quot;00B80F17&quot;/&gt;&lt;wsp:rsid wsp:val=&quot;00B86333&quot;/&gt;&lt;wsp:rsid wsp:val=&quot;00B906C7&quot;/&gt;&lt;wsp:rsid wsp:val=&quot;00B94A19&quot;/&gt;&lt;wsp:rsid wsp:val=&quot;00B964BE&quot;/&gt;&lt;wsp:rsid wsp:val=&quot;00B976A8&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41E0&quot;/&gt;&lt;wsp:rsid wsp:val=&quot;00BB52CF&quot;/&gt;&lt;wsp:rsid wsp:val=&quot;00BB5369&quot;/&gt;&lt;wsp:rsid wsp:val=&quot;00BB56DE&quot;/&gt;&lt;wsp:rsid wsp:val=&quot;00BC0B79&quot;/&gt;&lt;wsp:rsid wsp:val=&quot;00BC0C1F&quot;/&gt;&lt;wsp:rsid wsp:val=&quot;00BC2941&quot;/&gt;&lt;wsp:rsid wsp:val=&quot;00BC29C2&quot;/&gt;&lt;wsp:rsid wsp:val=&quot;00BC370E&quot;/&gt;&lt;wsp:rsid wsp:val=&quot;00BC3D43&quot;/&gt;&lt;wsp:rsid wsp:val=&quot;00BC7386&quot;/&gt;&lt;wsp:rsid wsp:val=&quot;00BC75B5&quot;/&gt;&lt;wsp:rsid wsp:val=&quot;00BD10D2&quot;/&gt;&lt;wsp:rsid wsp:val=&quot;00BD114B&quot;/&gt;&lt;wsp:rsid wsp:val=&quot;00BD4762&quot;/&gt;&lt;wsp:rsid wsp:val=&quot;00BD491D&quot;/&gt;&lt;wsp:rsid wsp:val=&quot;00BD4FA9&quot;/&gt;&lt;wsp:rsid wsp:val=&quot;00BD5E6D&quot;/&gt;&lt;wsp:rsid wsp:val=&quot;00BD604C&quot;/&gt;&lt;wsp:rsid wsp:val=&quot;00BE3B07&quot;/&gt;&lt;wsp:rsid wsp:val=&quot;00BE6024&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02E&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2F22&quot;/&gt;&lt;wsp:rsid wsp:val=&quot;00C26E62&quot;/&gt;&lt;wsp:rsid wsp:val=&quot;00C2739B&quot;/&gt;&lt;wsp:rsid wsp:val=&quot;00C30853&quot;/&gt;&lt;wsp:rsid wsp:val=&quot;00C31265&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8D3&quot;/&gt;&lt;wsp:rsid wsp:val=&quot;00C55F50&quot;/&gt;&lt;wsp:rsid wsp:val=&quot;00C569AB&quot;/&gt;&lt;wsp:rsid wsp:val=&quot;00C569CC&quot;/&gt;&lt;wsp:rsid wsp:val=&quot;00C57ACC&quot;/&gt;&lt;wsp:rsid wsp:val=&quot;00C62130&quot;/&gt;&lt;wsp:rsid wsp:val=&quot;00C6529A&quot;/&gt;&lt;wsp:rsid wsp:val=&quot;00C70079&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16CA&quot;/&gt;&lt;wsp:rsid wsp:val=&quot;00C84ACC&quot;/&gt;&lt;wsp:rsid wsp:val=&quot;00C84B47&quot;/&gt;&lt;wsp:rsid wsp:val=&quot;00C85321&quot;/&gt;&lt;wsp:rsid wsp:val=&quot;00C86B16&quot;/&gt;&lt;wsp:rsid wsp:val=&quot;00C878E9&quot;/&gt;&lt;wsp:rsid wsp:val=&quot;00C91D1C&quot;/&gt;&lt;wsp:rsid wsp:val=&quot;00C941C9&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D7CC4&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8B1&quot;/&gt;&lt;wsp:rsid wsp:val=&quot;00D16974&quot;/&gt;&lt;wsp:rsid wsp:val=&quot;00D20BAF&quot;/&gt;&lt;wsp:rsid wsp:val=&quot;00D20F88&quot;/&gt;&lt;wsp:rsid wsp:val=&quot;00D21238&quot;/&gt;&lt;wsp:rsid wsp:val=&quot;00D21BF2&quot;/&gt;&lt;wsp:rsid wsp:val=&quot;00D24512&quot;/&gt;&lt;wsp:rsid wsp:val=&quot;00D25D15&quot;/&gt;&lt;wsp:rsid wsp:val=&quot;00D26D98&quot;/&gt;&lt;wsp:rsid wsp:val=&quot;00D3374A&quot;/&gt;&lt;wsp:rsid wsp:val=&quot;00D34E06&quot;/&gt;&lt;wsp:rsid wsp:val=&quot;00D3600E&quot;/&gt;&lt;wsp:rsid wsp:val=&quot;00D4033B&quot;/&gt;&lt;wsp:rsid wsp:val=&quot;00D40A92&quot;/&gt;&lt;wsp:rsid wsp:val=&quot;00D4230C&quot;/&gt;&lt;wsp:rsid wsp:val=&quot;00D4263C&quot;/&gt;&lt;wsp:rsid wsp:val=&quot;00D43594&quot;/&gt;&lt;wsp:rsid wsp:val=&quot;00D43CBF&quot;/&gt;&lt;wsp:rsid wsp:val=&quot;00D44D53&quot;/&gt;&lt;wsp:rsid wsp:val=&quot;00D464A2&quot;/&gt;&lt;wsp:rsid wsp:val=&quot;00D506D0&quot;/&gt;&lt;wsp:rsid wsp:val=&quot;00D50E15&quot;/&gt;&lt;wsp:rsid wsp:val=&quot;00D51795&quot;/&gt;&lt;wsp:rsid wsp:val=&quot;00D52A83&quot;/&gt;&lt;wsp:rsid wsp:val=&quot;00D5616D&quot;/&gt;&lt;wsp:rsid wsp:val=&quot;00D5711F&quot;/&gt;&lt;wsp:rsid wsp:val=&quot;00D6167F&quot;/&gt;&lt;wsp:rsid wsp:val=&quot;00D616F1&quot;/&gt;&lt;wsp:rsid wsp:val=&quot;00D63474&quot;/&gt;&lt;wsp:rsid wsp:val=&quot;00D63714&quot;/&gt;&lt;wsp:rsid wsp:val=&quot;00D6383D&quot;/&gt;&lt;wsp:rsid wsp:val=&quot;00D63AFC&quot;/&gt;&lt;wsp:rsid wsp:val=&quot;00D64B68&quot;/&gt;&lt;wsp:rsid wsp:val=&quot;00D66373&quot;/&gt;&lt;wsp:rsid wsp:val=&quot;00D66C53&quot;/&gt;&lt;wsp:rsid wsp:val=&quot;00D6781B&quot;/&gt;&lt;wsp:rsid wsp:val=&quot;00D67BE8&quot;/&gt;&lt;wsp:rsid wsp:val=&quot;00D701C3&quot;/&gt;&lt;wsp:rsid wsp:val=&quot;00D72213&quot;/&gt;&lt;wsp:rsid wsp:val=&quot;00D76391&quot;/&gt;&lt;wsp:rsid wsp:val=&quot;00D76736&quot;/&gt;&lt;wsp:rsid wsp:val=&quot;00D81D6F&quot;/&gt;&lt;wsp:rsid wsp:val=&quot;00D8292D&quot;/&gt;&lt;wsp:rsid wsp:val=&quot;00D82F01&quot;/&gt;&lt;wsp:rsid wsp:val=&quot;00D82F8E&quot;/&gt;&lt;wsp:rsid wsp:val=&quot;00D85299&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686F&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03FD&quot;/&gt;&lt;wsp:rsid wsp:val=&quot;00DB156D&quot;/&gt;&lt;wsp:rsid wsp:val=&quot;00DB17FD&quot;/&gt;&lt;wsp:rsid wsp:val=&quot;00DB25C9&quot;/&gt;&lt;wsp:rsid wsp:val=&quot;00DB2887&quot;/&gt;&lt;wsp:rsid wsp:val=&quot;00DB3AC5&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0B43&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3C9&quot;/&gt;&lt;wsp:rsid wsp:val=&quot;00DE144D&quot;/&gt;&lt;wsp:rsid wsp:val=&quot;00DE15ED&quot;/&gt;&lt;wsp:rsid wsp:val=&quot;00DE1739&quot;/&gt;&lt;wsp:rsid wsp:val=&quot;00DE6C95&quot;/&gt;&lt;wsp:rsid wsp:val=&quot;00DF0111&quot;/&gt;&lt;wsp:rsid wsp:val=&quot;00DF5416&quot;/&gt;&lt;wsp:rsid wsp:val=&quot;00E00053&quot;/&gt;&lt;wsp:rsid wsp:val=&quot;00E00BB2&quot;/&gt;&lt;wsp:rsid wsp:val=&quot;00E021E5&quot;/&gt;&lt;wsp:rsid wsp:val=&quot;00E02359&quot;/&gt;&lt;wsp:rsid wsp:val=&quot;00E03022&quot;/&gt;&lt;wsp:rsid wsp:val=&quot;00E04707&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1FD9&quot;/&gt;&lt;wsp:rsid wsp:val=&quot;00E22104&quot;/&gt;&lt;wsp:rsid wsp:val=&quot;00E24A3F&quot;/&gt;&lt;wsp:rsid wsp:val=&quot;00E25D1D&quot;/&gt;&lt;wsp:rsid wsp:val=&quot;00E2627F&quot;/&gt;&lt;wsp:rsid wsp:val=&quot;00E26964&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483&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A5&quot;/&gt;&lt;wsp:rsid wsp:val=&quot;00E730D0&quot;/&gt;&lt;wsp:rsid wsp:val=&quot;00E74753&quot;/&gt;&lt;wsp:rsid wsp:val=&quot;00E7512C&quot;/&gt;&lt;wsp:rsid wsp:val=&quot;00E75737&quot;/&gt;&lt;wsp:rsid wsp:val=&quot;00E75E82&quot;/&gt;&lt;wsp:rsid wsp:val=&quot;00E7769E&quot;/&gt;&lt;wsp:rsid wsp:val=&quot;00E81458&quot;/&gt;&lt;wsp:rsid wsp:val=&quot;00E8276B&quot;/&gt;&lt;wsp:rsid wsp:val=&quot;00E828C3&quot;/&gt;&lt;wsp:rsid wsp:val=&quot;00E83543&quot;/&gt;&lt;wsp:rsid wsp:val=&quot;00E83CC5&quot;/&gt;&lt;wsp:rsid wsp:val=&quot;00E840A5&quot;/&gt;&lt;wsp:rsid wsp:val=&quot;00E85A53&quot;/&gt;&lt;wsp:rsid wsp:val=&quot;00E87AB9&quot;/&gt;&lt;wsp:rsid wsp:val=&quot;00E90CED&quot;/&gt;&lt;wsp:rsid wsp:val=&quot;00E91816&quot;/&gt;&lt;wsp:rsid wsp:val=&quot;00E94D93&quot;/&gt;&lt;wsp:rsid wsp:val=&quot;00E95A5C&quot;/&gt;&lt;wsp:rsid wsp:val=&quot;00E95F0A&quot;/&gt;&lt;wsp:rsid wsp:val=&quot;00E968DC&quot;/&gt;&lt;wsp:rsid wsp:val=&quot;00E97987&quot;/&gt;&lt;wsp:rsid wsp:val=&quot;00EA0D4F&quot;/&gt;&lt;wsp:rsid wsp:val=&quot;00EA1EF6&quot;/&gt;&lt;wsp:rsid wsp:val=&quot;00EA20AC&quot;/&gt;&lt;wsp:rsid wsp:val=&quot;00EA21B3&quot;/&gt;&lt;wsp:rsid wsp:val=&quot;00EA235C&quot;/&gt;&lt;wsp:rsid wsp:val=&quot;00EA3085&quot;/&gt;&lt;wsp:rsid wsp:val=&quot;00EA78CB&quot;/&gt;&lt;wsp:rsid wsp:val=&quot;00EA7990&quot;/&gt;&lt;wsp:rsid wsp:val=&quot;00EB0E0F&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B17&quot;/&gt;&lt;wsp:rsid wsp:val=&quot;00EE1DB6&quot;/&gt;&lt;wsp:rsid wsp:val=&quot;00EE5BF5&quot;/&gt;&lt;wsp:rsid wsp:val=&quot;00EE700F&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771&quot;/&gt;&lt;wsp:rsid wsp:val=&quot;00F00BDB&quot;/&gt;&lt;wsp:rsid wsp:val=&quot;00F053A6&quot;/&gt;&lt;wsp:rsid wsp:val=&quot;00F07602&quot;/&gt;&lt;wsp:rsid wsp:val=&quot;00F07B8D&quot;/&gt;&lt;wsp:rsid wsp:val=&quot;00F07D58&quot;/&gt;&lt;wsp:rsid wsp:val=&quot;00F1076C&quot;/&gt;&lt;wsp:rsid wsp:val=&quot;00F10F06&quot;/&gt;&lt;wsp:rsid wsp:val=&quot;00F1304F&quot;/&gt;&lt;wsp:rsid wsp:val=&quot;00F13A18&quot;/&gt;&lt;wsp:rsid wsp:val=&quot;00F1518F&quot;/&gt;&lt;wsp:rsid wsp:val=&quot;00F15389&quot;/&gt;&lt;wsp:rsid wsp:val=&quot;00F1599E&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286F&quot;/&gt;&lt;wsp:rsid wsp:val=&quot;00F33DA4&quot;/&gt;&lt;wsp:rsid wsp:val=&quot;00F3493A&quot;/&gt;&lt;wsp:rsid wsp:val=&quot;00F353C6&quot;/&gt;&lt;wsp:rsid wsp:val=&quot;00F36949&quot;/&gt;&lt;wsp:rsid wsp:val=&quot;00F36C74&quot;/&gt;&lt;wsp:rsid wsp:val=&quot;00F37644&quot;/&gt;&lt;wsp:rsid wsp:val=&quot;00F44456&quot;/&gt;&lt;wsp:rsid wsp:val=&quot;00F44AAD&quot;/&gt;&lt;wsp:rsid wsp:val=&quot;00F44ADB&quot;/&gt;&lt;wsp:rsid wsp:val=&quot;00F45D8C&quot;/&gt;&lt;wsp:rsid wsp:val=&quot;00F460E7&quot;/&gt;&lt;wsp:rsid wsp:val=&quot;00F5134E&quot;/&gt;&lt;wsp:rsid wsp:val=&quot;00F52B54&quot;/&gt;&lt;wsp:rsid wsp:val=&quot;00F541CD&quot;/&gt;&lt;wsp:rsid wsp:val=&quot;00F609A6&quot;/&gt;&lt;wsp:rsid wsp:val=&quot;00F61405&quot;/&gt;&lt;wsp:rsid wsp:val=&quot;00F61573&quot;/&gt;&lt;wsp:rsid wsp:val=&quot;00F632C7&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4E42&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3D51&quot;/&gt;&lt;wsp:rsid wsp:val=&quot;00FA4646&quot;/&gt;&lt;wsp:rsid wsp:val=&quot;00FA6DD9&quot;/&gt;&lt;wsp:rsid wsp:val=&quot;00FA7C6E&quot;/&gt;&lt;wsp:rsid wsp:val=&quot;00FB02B8&quot;/&gt;&lt;wsp:rsid wsp:val=&quot;00FB0F0E&quot;/&gt;&lt;wsp:rsid wsp:val=&quot;00FB1E36&quot;/&gt;&lt;wsp:rsid wsp:val=&quot;00FB3721&quot;/&gt;&lt;wsp:rsid wsp:val=&quot;00FC0112&quot;/&gt;&lt;wsp:rsid wsp:val=&quot;00FC2435&quot;/&gt;&lt;wsp:rsid wsp:val=&quot;00FC2853&quot;/&gt;&lt;wsp:rsid wsp:val=&quot;00FC2A3B&quot;/&gt;&lt;wsp:rsid wsp:val=&quot;00FC56EC&quot;/&gt;&lt;wsp:rsid wsp:val=&quot;00FC5F97&quot;/&gt;&lt;wsp:rsid wsp:val=&quot;00FC5FCE&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 wsp:val=&quot;01913EE5&quot;/&gt;&lt;wsp:rsid wsp:val=&quot;028F592D&quot;/&gt;&lt;wsp:rsid wsp:val=&quot;03442226&quot;/&gt;&lt;wsp:rsid wsp:val=&quot;03653EFA&quot;/&gt;&lt;wsp:rsid wsp:val=&quot;041A1B6C&quot;/&gt;&lt;wsp:rsid wsp:val=&quot;05076F73&quot;/&gt;&lt;wsp:rsid wsp:val=&quot;069D413E&quot;/&gt;&lt;wsp:rsid wsp:val=&quot;0AED07E6&quot;/&gt;&lt;wsp:rsid wsp:val=&quot;0C5000D6&quot;/&gt;&lt;wsp:rsid wsp:val=&quot;0D5027DF&quot;/&gt;&lt;wsp:rsid wsp:val=&quot;0DAA3665&quot;/&gt;&lt;wsp:rsid wsp:val=&quot;0F522479&quot;/&gt;&lt;wsp:rsid wsp:val=&quot;0F964C30&quot;/&gt;&lt;wsp:rsid wsp:val=&quot;10954101&quot;/&gt;&lt;wsp:rsid wsp:val=&quot;129670E6&quot;/&gt;&lt;wsp:rsid wsp:val=&quot;13535C1D&quot;/&gt;&lt;wsp:rsid wsp:val=&quot;13B00235&quot;/&gt;&lt;wsp:rsid wsp:val=&quot;142D3110&quot;/&gt;&lt;wsp:rsid wsp:val=&quot;147D7105&quot;/&gt;&lt;wsp:rsid wsp:val=&quot;15505755&quot;/&gt;&lt;wsp:rsid wsp:val=&quot;162D6DFB&quot;/&gt;&lt;wsp:rsid wsp:val=&quot;16A6727C&quot;/&gt;&lt;wsp:rsid wsp:val=&quot;176F31FD&quot;/&gt;&lt;wsp:rsid wsp:val=&quot;1AE579CF&quot;/&gt;&lt;wsp:rsid wsp:val=&quot;1B7B1F7C&quot;/&gt;&lt;wsp:rsid wsp:val=&quot;1BDF4200&quot;/&gt;&lt;wsp:rsid wsp:val=&quot;1C461BF2&quot;/&gt;&lt;wsp:rsid wsp:val=&quot;1CBE498C&quot;/&gt;&lt;wsp:rsid wsp:val=&quot;1F633C25&quot;/&gt;&lt;wsp:rsid wsp:val=&quot;1FE525D4&quot;/&gt;&lt;wsp:rsid wsp:val=&quot;21962554&quot;/&gt;&lt;wsp:rsid wsp:val=&quot;21AB295D&quot;/&gt;&lt;wsp:rsid wsp:val=&quot;21E62F9A&quot;/&gt;&lt;wsp:rsid wsp:val=&quot;23FC2058&quot;/&gt;&lt;wsp:rsid wsp:val=&quot;24083460&quot;/&gt;&lt;wsp:rsid wsp:val=&quot;240C1A97&quot;/&gt;&lt;wsp:rsid wsp:val=&quot;24402A29&quot;/&gt;&lt;wsp:rsid wsp:val=&quot;24EF1192&quot;/&gt;&lt;wsp:rsid wsp:val=&quot;26B54D1B&quot;/&gt;&lt;wsp:rsid wsp:val=&quot;27504F53&quot;/&gt;&lt;wsp:rsid wsp:val=&quot;27EC0D41&quot;/&gt;&lt;wsp:rsid wsp:val=&quot;288C7A13&quot;/&gt;&lt;wsp:rsid wsp:val=&quot;29280A4A&quot;/&gt;&lt;wsp:rsid wsp:val=&quot;2A242902&quot;/&gt;&lt;wsp:rsid wsp:val=&quot;2B0F5A52&quot;/&gt;&lt;wsp:rsid wsp:val=&quot;2BA210C8&quot;/&gt;&lt;wsp:rsid wsp:val=&quot;2C322210&quot;/&gt;&lt;wsp:rsid wsp:val=&quot;2C880EAC&quot;/&gt;&lt;wsp:rsid wsp:val=&quot;2D0B45D8&quot;/&gt;&lt;wsp:rsid wsp:val=&quot;2D7A5F58&quot;/&gt;&lt;wsp:rsid wsp:val=&quot;2DE5090C&quot;/&gt;&lt;wsp:rsid wsp:val=&quot;2F245151&quot;/&gt;&lt;wsp:rsid wsp:val=&quot;2F9C50D7&quot;/&gt;&lt;wsp:rsid wsp:val=&quot;31CE7C91&quot;/&gt;&lt;wsp:rsid wsp:val=&quot;3337290D&quot;/&gt;&lt;wsp:rsid wsp:val=&quot;36284D13&quot;/&gt;&lt;wsp:rsid wsp:val=&quot;3894435E&quot;/&gt;&lt;wsp:rsid wsp:val=&quot;39093C9F&quot;/&gt;&lt;wsp:rsid wsp:val=&quot;3A3141FD&quot;/&gt;&lt;wsp:rsid wsp:val=&quot;3A4F2B98&quot;/&gt;&lt;wsp:rsid wsp:val=&quot;3ADB3587&quot;/&gt;&lt;wsp:rsid wsp:val=&quot;3B7A0243&quot;/&gt;&lt;wsp:rsid wsp:val=&quot;3D3B012F&quot;/&gt;&lt;wsp:rsid wsp:val=&quot;3F946430&quot;/&gt;&lt;wsp:rsid wsp:val=&quot;414D6E8F&quot;/&gt;&lt;wsp:rsid wsp:val=&quot;44C457EC&quot;/&gt;&lt;wsp:rsid wsp:val=&quot;453D5151&quot;/&gt;&lt;wsp:rsid wsp:val=&quot;46087ED9&quot;/&gt;&lt;wsp:rsid wsp:val=&quot;464F3E74&quot;/&gt;&lt;wsp:rsid wsp:val=&quot;47B7007B&quot;/&gt;&lt;wsp:rsid wsp:val=&quot;4AF34469&quot;/&gt;&lt;wsp:rsid wsp:val=&quot;4DC67269&quot;/&gt;&lt;wsp:rsid wsp:val=&quot;4EB12B06&quot;/&gt;&lt;wsp:rsid wsp:val=&quot;500669FA&quot;/&gt;&lt;wsp:rsid wsp:val=&quot;50780669&quot;/&gt;&lt;wsp:rsid wsp:val=&quot;510F2B1C&quot;/&gt;&lt;wsp:rsid wsp:val=&quot;531F30EF&quot;/&gt;&lt;wsp:rsid wsp:val=&quot;53FC68EC&quot;/&gt;&lt;wsp:rsid wsp:val=&quot;55C31C18&quot;/&gt;&lt;wsp:rsid wsp:val=&quot;563802EA&quot;/&gt;&lt;wsp:rsid wsp:val=&quot;56DC4230&quot;/&gt;&lt;wsp:rsid wsp:val=&quot;57504909&quot;/&gt;&lt;wsp:rsid wsp:val=&quot;583E2C99&quot;/&gt;&lt;wsp:rsid wsp:val=&quot;59801151&quot;/&gt;&lt;wsp:rsid wsp:val=&quot;5DF259C4&quot;/&gt;&lt;wsp:rsid wsp:val=&quot;60B62CF0&quot;/&gt;&lt;wsp:rsid wsp:val=&quot;64894531&quot;/&gt;&lt;wsp:rsid wsp:val=&quot;65185966&quot;/&gt;&lt;wsp:rsid wsp:val=&quot;651B6D5B&quot;/&gt;&lt;wsp:rsid wsp:val=&quot;655E3BFF&quot;/&gt;&lt;wsp:rsid wsp:val=&quot;65D861FB&quot;/&gt;&lt;wsp:rsid wsp:val=&quot;66874C3F&quot;/&gt;&lt;wsp:rsid wsp:val=&quot;66B83AD3&quot;/&gt;&lt;wsp:rsid wsp:val=&quot;67297020&quot;/&gt;&lt;wsp:rsid wsp:val=&quot;67C878B1&quot;/&gt;&lt;wsp:rsid wsp:val=&quot;68856D5A&quot;/&gt;&lt;wsp:rsid wsp:val=&quot;69E43F64&quot;/&gt;&lt;wsp:rsid wsp:val=&quot;6A4F07BF&quot;/&gt;&lt;wsp:rsid wsp:val=&quot;6AE00E93&quot;/&gt;&lt;wsp:rsid wsp:val=&quot;6B6272BA&quot;/&gt;&lt;wsp:rsid wsp:val=&quot;6D5814A1&quot;/&gt;&lt;wsp:rsid wsp:val=&quot;6EC31DA1&quot;/&gt;&lt;wsp:rsid wsp:val=&quot;6F0179C4&quot;/&gt;&lt;wsp:rsid wsp:val=&quot;71D35B1D&quot;/&gt;&lt;wsp:rsid wsp:val=&quot;73A2363E&quot;/&gt;&lt;wsp:rsid wsp:val=&quot;73BA76AB&quot;/&gt;&lt;wsp:rsid wsp:val=&quot;74864E1F&quot;/&gt;&lt;wsp:rsid wsp:val=&quot;75E507FE&quot;/&gt;&lt;wsp:rsid wsp:val=&quot;762A50E3&quot;/&gt;&lt;wsp:rsid wsp:val=&quot;76832D14&quot;/&gt;&lt;wsp:rsid wsp:val=&quot;770120C4&quot;/&gt;&lt;wsp:rsid wsp:val=&quot;792621D5&quot;/&gt;&lt;wsp:rsid wsp:val=&quot;79CF15E2&quot;/&gt;&lt;wsp:rsid wsp:val=&quot;7B1A1859&quot;/&gt;&lt;wsp:rsid wsp:val=&quot;7D934810&quot;/&gt;&lt;wsp:rsid wsp:val=&quot;7D98132E&quot;/&gt;&lt;wsp:rsid wsp:val=&quot;7DBB021F&quot;/&gt;&lt;wsp:rsid wsp:val=&quot;7E502455&quot;/&gt;&lt;wsp:rsid wsp:val=&quot;7E6B465F&quot;/&gt;&lt;wsp:rsid wsp:val=&quot;7FF4188E&quot;/&gt;&lt;/wsp:rsids&gt;&lt;/w:docPr&gt;&lt;w:body&gt;&lt;wx:sect&gt;&lt;w:p wsp:rsidR=&quot;00000000&quot; wsp:rsidRDefault=&quot;00F3493A&quot; wsp:rsidP=&quot;00F3493A&quot;&gt;&lt;m:oMathPara&gt;&lt;m:oMath&gt;&lt;m:r&gt;&lt;w:rPr&gt;&lt;w:rFonts w:ascii=&quot;Cambria Math&quot; w:h-ansi=&quot;Cambria Math&quot;/&gt;&lt;wx:font wx:val=&quot;Cambria Math&quot;/&gt;&lt;w:i/&gt;&lt;w:sz-cs w:val=&quot;20&quot;/&gt;&lt;w:lang w:fareast=&quot;KO&quot;/&gt;&lt;/w:rPr&gt;&lt;m:t&gt;m+3&lt;/m:t&gt;&lt;/m:r&gt;&lt;m:sSubSup&gt;&lt;m:sSubSupPr&gt;&lt;m:ctrlPr&gt;&lt;w:rPr&gt;&lt;w:rFonts w:ascii=&quot;Cambria Math&quot; w:h-ansi=&quot;Cambria Math&quot;/&gt;&lt;wx:font wx:val=&quot;Cambria Math&quot;/&gt;&lt;w:b-cs/&gt;&lt;w:i/&gt;&lt;w:sz-cs w:val=&quot;20&quot;/&gt;&lt;w:lang w:fareast=&quot;KO&quot;/&gt;&lt;/w:rPr&gt;&lt;/m:ctrlPr&gt;&lt;/m:sSubSupPr&gt;&lt;m:e&gt;&lt;m:r&gt;&lt;w:rPr&gt;&lt;w:rFonts w:ascii=&quot;Cambria Math&quot; w:h-ansi=&quot;Cambria Math&quot;/&gt;&lt;wx:font wx:val=&quot;Cambria Math&quot;/&gt;&lt;w:i/&gt;&lt;w:sz-cs w:val=&quot;20&quot;/&gt;&lt;w:lang w:fareast=&quot;KO&quot;/&gt;&lt;/w:rPr&gt;&lt;m:t&gt;N&lt;/m:t&gt;&lt;/m:r&gt;&lt;/m:e&gt;&lt;m:sub&gt;&lt;m:r&gt;&lt;m:rPr&gt;&lt;m:nor/&gt;&lt;/m:rPr&gt;&lt;w:rPr&gt;&lt;w:rFonts w:ascii=&quot;Times New Roman&quot; w:h-ansi=&quot;Times New Roman&quot;/&gt;&lt;wx:font wx:val=&quot;Times New Roman&quot;/&gt;&lt;w:b-cs/&gt;&lt;w:i/&gt;&lt;w:sz-cs w:val=&quot;20&quot;/&gt;&lt;w:lang w:fareast=&quot;KO&quot;/&gt;&lt;/w:rPr&gt;&lt;m:t&gt;slot&lt;/m:t&gt;&lt;/m:r&gt;&lt;/m:sub&gt;&lt;m:sup&gt;&lt;m:r&gt;&lt;m:rPr&gt;&lt;m:nor/&gt;&lt;/m:rPr&gt;&lt;w:rPr&gt;&lt;w:rFonts w:ascii=&quot;Times New Roman&quot; w:h-ansi=&quot;Times New Roman&quot;/&gt;&lt;wx:font wx:val=&quot;Times New Roman&quot;/&gt;&lt;w:b-cs/&gt;&lt;w:i/&gt;&lt;w:sz-cs w:val=&quot;20&quot;/&gt;&lt;w:lang w:fareast=&quot;KO&quot;/&gt;&lt;/w:rPr&gt;&lt;m:t&gt;subframe&lt;/m:t&gt;&lt;/m:r&gt;&lt;m:r&gt;&lt;w:rPr&gt;&lt;w:rFonts w:ascii=&quot;Cambria Math&quot; w:h-ansi=&quot;Cambria Math&quot;/&gt;&lt;wx:font wx:val=&quot;Cambria Math&quot;/&gt;&lt;w:i/&gt;&lt;w:sz-cs w:val=&quot;20&quot;/&gt;&lt;w:lang w:fareast=&quot;KO&quot;/&gt;&lt;/w:rPr&gt;&lt;m:t&gt;,μ&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Times New Roman" w:hAnsi="Times New Roman"/>
                <w:szCs w:val="20"/>
                <w:lang w:eastAsia="ko-KR"/>
              </w:rPr>
              <w:instrText xml:space="preserve"> </w:instrText>
            </w:r>
            <w:r>
              <w:rPr>
                <w:rFonts w:ascii="Times New Roman" w:hAnsi="Times New Roman"/>
                <w:szCs w:val="20"/>
                <w:lang w:eastAsia="ko-KR"/>
              </w:rPr>
              <w:fldChar w:fldCharType="separate"/>
            </w:r>
            <w:r>
              <w:rPr>
                <w:rFonts w:hint="eastAsia"/>
                <w:position w:val="-8"/>
              </w:rPr>
              <w:pict>
                <v:shape id="_x0000_i1030" o:spt="75" type="#_x0000_t75" style="height:15pt;width:6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defaultTabStop w:val=&quot;799&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27A5&quot;/&gt;&lt;wsp:rsid wsp:val=&quot;000049DC&quot;/&gt;&lt;wsp:rsid wsp:val=&quot;00006115&quot;/&gt;&lt;wsp:rsid wsp:val=&quot;00006E91&quot;/&gt;&lt;wsp:rsid wsp:val=&quot;00013C50&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5694&quot;/&gt;&lt;wsp:rsid wsp:val=&quot;0002646D&quot;/&gt;&lt;wsp:rsid wsp:val=&quot;0002658D&quot;/&gt;&lt;wsp:rsid wsp:val=&quot;00027418&quot;/&gt;&lt;wsp:rsid wsp:val=&quot;00027793&quot;/&gt;&lt;wsp:rsid wsp:val=&quot;00030286&quot;/&gt;&lt;wsp:rsid wsp:val=&quot;000321DC&quot;/&gt;&lt;wsp:rsid wsp:val=&quot;00032D66&quot;/&gt;&lt;wsp:rsid wsp:val=&quot;00034896&quot;/&gt;&lt;wsp:rsid wsp:val=&quot;00034D4D&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1EEE&quot;/&gt;&lt;wsp:rsid wsp:val=&quot;00063AE7&quot;/&gt;&lt;wsp:rsid wsp:val=&quot;00064CDB&quot;/&gt;&lt;wsp:rsid wsp:val=&quot;000666C0&quot;/&gt;&lt;wsp:rsid wsp:val=&quot;00070E52&quot;/&gt;&lt;wsp:rsid wsp:val=&quot;00073A64&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0F2&quot;/&gt;&lt;wsp:rsid wsp:val=&quot;000969AF&quot;/&gt;&lt;wsp:rsid wsp:val=&quot;000A0641&quot;/&gt;&lt;wsp:rsid wsp:val=&quot;000A3922&quot;/&gt;&lt;wsp:rsid wsp:val=&quot;000A57B3&quot;/&gt;&lt;wsp:rsid wsp:val=&quot;000A5EF6&quot;/&gt;&lt;wsp:rsid wsp:val=&quot;000B0DA5&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229&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0F0529&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411F&quot;/&gt;&lt;wsp:rsid wsp:val=&quot;001452E3&quot;/&gt;&lt;wsp:rsid wsp:val=&quot;00145E2B&quot;/&gt;&lt;wsp:rsid wsp:val=&quot;0014603D&quot;/&gt;&lt;wsp:rsid wsp:val=&quot;00146D61&quot;/&gt;&lt;wsp:rsid wsp:val=&quot;001474C4&quot;/&gt;&lt;wsp:rsid wsp:val=&quot;00150C17&quot;/&gt;&lt;wsp:rsid wsp:val=&quot;0015249E&quot;/&gt;&lt;wsp:rsid wsp:val=&quot;00154717&quot;/&gt;&lt;wsp:rsid wsp:val=&quot;00155082&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0489&quot;/&gt;&lt;wsp:rsid wsp:val=&quot;001804F1&quot;/&gt;&lt;wsp:rsid wsp:val=&quot;001810BD&quot;/&gt;&lt;wsp:rsid wsp:val=&quot;00181906&quot;/&gt;&lt;wsp:rsid wsp:val=&quot;00182437&quot;/&gt;&lt;wsp:rsid wsp:val=&quot;00182D68&quot;/&gt;&lt;wsp:rsid wsp:val=&quot;00184862&quot;/&gt;&lt;wsp:rsid wsp:val=&quot;00184D3E&quot;/&gt;&lt;wsp:rsid wsp:val=&quot;00185777&quot;/&gt;&lt;wsp:rsid wsp:val=&quot;00185CFE&quot;/&gt;&lt;wsp:rsid wsp:val=&quot;00186520&quot;/&gt;&lt;wsp:rsid wsp:val=&quot;00191AC9&quot;/&gt;&lt;wsp:rsid wsp:val=&quot;001941E6&quot;/&gt;&lt;wsp:rsid wsp:val=&quot;0019426E&quot;/&gt;&lt;wsp:rsid wsp:val=&quot;00195BCA&quot;/&gt;&lt;wsp:rsid wsp:val=&quot;00197AA5&quot;/&gt;&lt;wsp:rsid wsp:val=&quot;001A0414&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79F&quot;/&gt;&lt;wsp:rsid wsp:val=&quot;001C3FFD&quot;/&gt;&lt;wsp:rsid wsp:val=&quot;001C40D9&quot;/&gt;&lt;wsp:rsid wsp:val=&quot;001C5621&quot;/&gt;&lt;wsp:rsid wsp:val=&quot;001C74BE&quot;/&gt;&lt;wsp:rsid wsp:val=&quot;001C7C35&quot;/&gt;&lt;wsp:rsid wsp:val=&quot;001D0216&quot;/&gt;&lt;wsp:rsid wsp:val=&quot;001D04E7&quot;/&gt;&lt;wsp:rsid wsp:val=&quot;001D150F&quot;/&gt;&lt;wsp:rsid wsp:val=&quot;001D41B7&quot;/&gt;&lt;wsp:rsid wsp:val=&quot;001D52A5&quot;/&gt;&lt;wsp:rsid wsp:val=&quot;001D5746&quot;/&gt;&lt;wsp:rsid wsp:val=&quot;001D6962&quot;/&gt;&lt;wsp:rsid wsp:val=&quot;001D6F38&quot;/&gt;&lt;wsp:rsid wsp:val=&quot;001D7AE8&quot;/&gt;&lt;wsp:rsid wsp:val=&quot;001D7CDA&quot;/&gt;&lt;wsp:rsid wsp:val=&quot;001E3299&quot;/&gt;&lt;wsp:rsid wsp:val=&quot;001E41BC&quot;/&gt;&lt;wsp:rsid wsp:val=&quot;001E4536&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1F3928&quot;/&gt;&lt;wsp:rsid wsp:val=&quot;002004B2&quot;/&gt;&lt;wsp:rsid wsp:val=&quot;00202C71&quot;/&gt;&lt;wsp:rsid wsp:val=&quot;0020564C&quot;/&gt;&lt;wsp:rsid wsp:val=&quot;00206F84&quot;/&gt;&lt;wsp:rsid wsp:val=&quot;00210B7B&quot;/&gt;&lt;wsp:rsid wsp:val=&quot;00211448&quot;/&gt;&lt;wsp:rsid wsp:val=&quot;0021214B&quot;/&gt;&lt;wsp:rsid wsp:val=&quot;00213E6A&quot;/&gt;&lt;wsp:rsid wsp:val=&quot;00214F2A&quot;/&gt;&lt;wsp:rsid wsp:val=&quot;00216804&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0826&quot;/&gt;&lt;wsp:rsid wsp:val=&quot;0025116B&quot;/&gt;&lt;wsp:rsid wsp:val=&quot;00251A50&quot;/&gt;&lt;wsp:rsid wsp:val=&quot;002526D0&quot;/&gt;&lt;wsp:rsid wsp:val=&quot;0025466B&quot;/&gt;&lt;wsp:rsid wsp:val=&quot;00254FA9&quot;/&gt;&lt;wsp:rsid wsp:val=&quot;002556B6&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D9B&quot;/&gt;&lt;wsp:rsid wsp:val=&quot;00282E2C&quot;/&gt;&lt;wsp:rsid wsp:val=&quot;00282FD2&quot;/&gt;&lt;wsp:rsid wsp:val=&quot;00284207&quot;/&gt;&lt;wsp:rsid wsp:val=&quot;00285E3A&quot;/&gt;&lt;wsp:rsid wsp:val=&quot;00286532&quot;/&gt;&lt;wsp:rsid wsp:val=&quot;002912A8&quot;/&gt;&lt;wsp:rsid wsp:val=&quot;00293C36&quot;/&gt;&lt;wsp:rsid wsp:val=&quot;00293DB3&quot;/&gt;&lt;wsp:rsid wsp:val=&quot;0029433B&quot;/&gt;&lt;wsp:rsid wsp:val=&quot;00294EFB&quot;/&gt;&lt;wsp:rsid wsp:val=&quot;0029757E&quot;/&gt;&lt;wsp:rsid wsp:val=&quot;00297DD6&quot;/&gt;&lt;wsp:rsid wsp:val=&quot;00297DED&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6FA4&quot;/&gt;&lt;wsp:rsid wsp:val=&quot;002C7702&quot;/&gt;&lt;wsp:rsid wsp:val=&quot;002D0410&quot;/&gt;&lt;wsp:rsid wsp:val=&quot;002D1A27&quot;/&gt;&lt;wsp:rsid wsp:val=&quot;002D2CF7&quot;/&gt;&lt;wsp:rsid wsp:val=&quot;002D4D40&quot;/&gt;&lt;wsp:rsid wsp:val=&quot;002D5218&quot;/&gt;&lt;wsp:rsid wsp:val=&quot;002D6E7D&quot;/&gt;&lt;wsp:rsid wsp:val=&quot;002E1DF6&quot;/&gt;&lt;wsp:rsid wsp:val=&quot;002E687D&quot;/&gt;&lt;wsp:rsid wsp:val=&quot;002E74B5&quot;/&gt;&lt;wsp:rsid wsp:val=&quot;002F0759&quot;/&gt;&lt;wsp:rsid wsp:val=&quot;002F10CA&quot;/&gt;&lt;wsp:rsid wsp:val=&quot;002F1E2B&quot;/&gt;&lt;wsp:rsid wsp:val=&quot;002F2880&quot;/&gt;&lt;wsp:rsid wsp:val=&quot;002F4411&quot;/&gt;&lt;wsp:rsid wsp:val=&quot;002F5259&quot;/&gt;&lt;wsp:rsid wsp:val=&quot;002F57D7&quot;/&gt;&lt;wsp:rsid wsp:val=&quot;002F64B1&quot;/&gt;&lt;wsp:rsid wsp:val=&quot;002F7271&quot;/&gt;&lt;wsp:rsid wsp:val=&quot;002F739A&quot;/&gt;&lt;wsp:rsid wsp:val=&quot;00302398&quot;/&gt;&lt;wsp:rsid wsp:val=&quot;00304116&quot;/&gt;&lt;wsp:rsid wsp:val=&quot;003043B3&quot;/&gt;&lt;wsp:rsid wsp:val=&quot;0030490C&quot;/&gt;&lt;wsp:rsid wsp:val=&quot;0030546D&quot;/&gt;&lt;wsp:rsid wsp:val=&quot;0031112E&quot;/&gt;&lt;wsp:rsid wsp:val=&quot;00312317&quot;/&gt;&lt;wsp:rsid wsp:val=&quot;00313594&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2362&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434D&quot;/&gt;&lt;wsp:rsid wsp:val=&quot;00374380&quot;/&gt;&lt;wsp:rsid wsp:val=&quot;00374F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3028&quot;/&gt;&lt;wsp:rsid wsp:val=&quot;00394116&quot;/&gt;&lt;wsp:rsid wsp:val=&quot;00394AC8&quot;/&gt;&lt;wsp:rsid wsp:val=&quot;003957ED&quot;/&gt;&lt;wsp:rsid wsp:val=&quot;00397A6D&quot;/&gt;&lt;wsp:rsid wsp:val=&quot;003A135F&quot;/&gt;&lt;wsp:rsid wsp:val=&quot;003A4382&quot;/&gt;&lt;wsp:rsid wsp:val=&quot;003A4607&quot;/&gt;&lt;wsp:rsid wsp:val=&quot;003A72FB&quot;/&gt;&lt;wsp:rsid wsp:val=&quot;003A7CEB&quot;/&gt;&lt;wsp:rsid wsp:val=&quot;003B0BF8&quot;/&gt;&lt;wsp:rsid wsp:val=&quot;003B2B12&quot;/&gt;&lt;wsp:rsid wsp:val=&quot;003B30EF&quot;/&gt;&lt;wsp:rsid wsp:val=&quot;003B3DC0&quot;/&gt;&lt;wsp:rsid wsp:val=&quot;003B6548&quot;/&gt;&lt;wsp:rsid wsp:val=&quot;003B7BF9&quot;/&gt;&lt;wsp:rsid wsp:val=&quot;003C04F9&quot;/&gt;&lt;wsp:rsid wsp:val=&quot;003C1E97&quot;/&gt;&lt;wsp:rsid wsp:val=&quot;003C3033&quot;/&gt;&lt;wsp:rsid wsp:val=&quot;003C4584&quot;/&gt;&lt;wsp:rsid wsp:val=&quot;003C4EAC&quot;/&gt;&lt;wsp:rsid wsp:val=&quot;003C5C06&quot;/&gt;&lt;wsp:rsid wsp:val=&quot;003C6728&quot;/&gt;&lt;wsp:rsid wsp:val=&quot;003D194E&quot;/&gt;&lt;wsp:rsid wsp:val=&quot;003D33A8&quot;/&gt;&lt;wsp:rsid wsp:val=&quot;003D43C9&quot;/&gt;&lt;wsp:rsid wsp:val=&quot;003D4D92&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33B7&quot;/&gt;&lt;wsp:rsid wsp:val=&quot;003F39F6&quot;/&gt;&lt;wsp:rsid wsp:val=&quot;003F4797&quot;/&gt;&lt;wsp:rsid wsp:val=&quot;003F47B5&quot;/&gt;&lt;wsp:rsid wsp:val=&quot;003F7A24&quot;/&gt;&lt;wsp:rsid wsp:val=&quot;004003E8&quot;/&gt;&lt;wsp:rsid wsp:val=&quot;004019CB&quot;/&gt;&lt;wsp:rsid wsp:val=&quot;0040222B&quot;/&gt;&lt;wsp:rsid wsp:val=&quot;004022CC&quot;/&gt;&lt;wsp:rsid wsp:val=&quot;00402831&quot;/&gt;&lt;wsp:rsid wsp:val=&quot;00403018&quot;/&gt;&lt;wsp:rsid wsp:val=&quot;004032F1&quot;/&gt;&lt;wsp:rsid wsp:val=&quot;004035F6&quot;/&gt;&lt;wsp:rsid wsp:val=&quot;00403EDF&quot;/&gt;&lt;wsp:rsid wsp:val=&quot;00404DB1&quot;/&gt;&lt;wsp:rsid wsp:val=&quot;004109C3&quot;/&gt;&lt;wsp:rsid wsp:val=&quot;00412147&quot;/&gt;&lt;wsp:rsid wsp:val=&quot;00413C55&quot;/&gt;&lt;wsp:rsid wsp:val=&quot;00414181&quot;/&gt;&lt;wsp:rsid wsp:val=&quot;004159B2&quot;/&gt;&lt;wsp:rsid wsp:val=&quot;0041624E&quot;/&gt;&lt;wsp:rsid wsp:val=&quot;0041782C&quot;/&gt;&lt;wsp:rsid wsp:val=&quot;004200D8&quot;/&gt;&lt;wsp:rsid wsp:val=&quot;004206FA&quot;/&gt;&lt;wsp:rsid wsp:val=&quot;004213CE&quot;/&gt;&lt;wsp:rsid wsp:val=&quot;004223F1&quot;/&gt;&lt;wsp:rsid wsp:val=&quot;00424AFD&quot;/&gt;&lt;wsp:rsid wsp:val=&quot;00424C9C&quot;/&gt;&lt;wsp:rsid wsp:val=&quot;00430171&quot;/&gt;&lt;wsp:rsid wsp:val=&quot;00431123&quot;/&gt;&lt;wsp:rsid wsp:val=&quot;00431C26&quot;/&gt;&lt;wsp:rsid wsp:val=&quot;00431E83&quot;/&gt;&lt;wsp:rsid wsp:val=&quot;004329DE&quot;/&gt;&lt;wsp:rsid wsp:val=&quot;00432F62&quot;/&gt;&lt;wsp:rsid wsp:val=&quot;004345FD&quot;/&gt;&lt;wsp:rsid wsp:val=&quot;0043707E&quot;/&gt;&lt;wsp:rsid wsp:val=&quot;00437B5E&quot;/&gt;&lt;wsp:rsid wsp:val=&quot;0044004B&quot;/&gt;&lt;wsp:rsid wsp:val=&quot;0044021C&quot;/&gt;&lt;wsp:rsid wsp:val=&quot;00441B41&quot;/&gt;&lt;wsp:rsid wsp:val=&quot;00444E6F&quot;/&gt;&lt;wsp:rsid wsp:val=&quot;00444EC1&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895&quot;/&gt;&lt;wsp:rsid wsp:val=&quot;00471F19&quot;/&gt;&lt;wsp:rsid wsp:val=&quot;00473384&quot;/&gt;&lt;wsp:rsid wsp:val=&quot;00474298&quot;/&gt;&lt;wsp:rsid wsp:val=&quot;00474C18&quot;/&gt;&lt;wsp:rsid wsp:val=&quot;0048214B&quot;/&gt;&lt;wsp:rsid wsp:val=&quot;004826E7&quot;/&gt;&lt;wsp:rsid wsp:val=&quot;00485CEE&quot;/&gt;&lt;wsp:rsid wsp:val=&quot;004874D3&quot;/&gt;&lt;wsp:rsid wsp:val=&quot;004878E4&quot;/&gt;&lt;wsp:rsid wsp:val=&quot;0049013E&quot;/&gt;&lt;wsp:rsid wsp:val=&quot;004902E0&quot;/&gt;&lt;wsp:rsid wsp:val=&quot;00490947&quot;/&gt;&lt;wsp:rsid wsp:val=&quot;00490B8F&quot;/&gt;&lt;wsp:rsid wsp:val=&quot;004910AC&quot;/&gt;&lt;wsp:rsid wsp:val=&quot;00492B8D&quot;/&gt;&lt;wsp:rsid wsp:val=&quot;004945F3&quot;/&gt;&lt;wsp:rsid wsp:val=&quot;00494C99&quot;/&gt;&lt;wsp:rsid wsp:val=&quot;004952EA&quot;/&gt;&lt;wsp:rsid wsp:val=&quot;004A1B0B&quot;/&gt;&lt;wsp:rsid wsp:val=&quot;004A29F5&quot;/&gt;&lt;wsp:rsid wsp:val=&quot;004A2F9D&quot;/&gt;&lt;wsp:rsid wsp:val=&quot;004A4203&quot;/&gt;&lt;wsp:rsid wsp:val=&quot;004A4333&quot;/&gt;&lt;wsp:rsid wsp:val=&quot;004A5270&quot;/&gt;&lt;wsp:rsid wsp:val=&quot;004A6725&quot;/&gt;&lt;wsp:rsid wsp:val=&quot;004A6728&quot;/&gt;&lt;wsp:rsid wsp:val=&quot;004B0FC0&quot;/&gt;&lt;wsp:rsid wsp:val=&quot;004B1BEE&quot;/&gt;&lt;wsp:rsid wsp:val=&quot;004B2359&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2546&quot;/&gt;&lt;wsp:rsid wsp:val=&quot;004D2F5B&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E685E&quot;/&gt;&lt;wsp:rsid wsp:val=&quot;004F21E5&quot;/&gt;&lt;wsp:rsid wsp:val=&quot;004F2E30&quot;/&gt;&lt;wsp:rsid wsp:val=&quot;004F344E&quot;/&gt;&lt;wsp:rsid wsp:val=&quot;004F428C&quot;/&gt;&lt;wsp:rsid wsp:val=&quot;004F6828&quot;/&gt;&lt;wsp:rsid wsp:val=&quot;004F6879&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29FE&quot;/&gt;&lt;wsp:rsid wsp:val=&quot;00514701&quot;/&gt;&lt;wsp:rsid wsp:val=&quot;00514C06&quot;/&gt;&lt;wsp:rsid wsp:val=&quot;00515ADF&quot;/&gt;&lt;wsp:rsid wsp:val=&quot;00516B1D&quot;/&gt;&lt;wsp:rsid wsp:val=&quot;0052072B&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C4E&quot;/&gt;&lt;wsp:rsid wsp:val=&quot;00543EA0&quot;/&gt;&lt;wsp:rsid wsp:val=&quot;0054487A&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0B4F&quot;/&gt;&lt;wsp:rsid wsp:val=&quot;005634EC&quot;/&gt;&lt;wsp:rsid wsp:val=&quot;00563BDE&quot;/&gt;&lt;wsp:rsid wsp:val=&quot;005645C5&quot;/&gt;&lt;wsp:rsid wsp:val=&quot;0056693D&quot;/&gt;&lt;wsp:rsid wsp:val=&quot;0057032E&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465F&quot;/&gt;&lt;wsp:rsid wsp:val=&quot;005765F4&quot;/&gt;&lt;wsp:rsid wsp:val=&quot;005771D3&quot;/&gt;&lt;wsp:rsid wsp:val=&quot;0057754D&quot;/&gt;&lt;wsp:rsid wsp:val=&quot;00582CFF&quot;/&gt;&lt;wsp:rsid wsp:val=&quot;005849FF&quot;/&gt;&lt;wsp:rsid wsp:val=&quot;00585903&quot;/&gt;&lt;wsp:rsid wsp:val=&quot;00585CC3&quot;/&gt;&lt;wsp:rsid wsp:val=&quot;00587189&quot;/&gt;&lt;wsp:rsid wsp:val=&quot;00587DE1&quot;/&gt;&lt;wsp:rsid wsp:val=&quot;0059060C&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4B91&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07A65&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178C1&quot;/&gt;&lt;wsp:rsid wsp:val=&quot;00620ECF&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819&quot;/&gt;&lt;wsp:rsid wsp:val=&quot;006429EB&quot;/&gt;&lt;wsp:rsid wsp:val=&quot;006432CC&quot;/&gt;&lt;wsp:rsid wsp:val=&quot;006438C1&quot;/&gt;&lt;wsp:rsid wsp:val=&quot;00644560&quot;/&gt;&lt;wsp:rsid wsp:val=&quot;00645134&quot;/&gt;&lt;wsp:rsid wsp:val=&quot;00645247&quot;/&gt;&lt;wsp:rsid wsp:val=&quot;00645CFD&quot;/&gt;&lt;wsp:rsid wsp:val=&quot;00645E6A&quot;/&gt;&lt;wsp:rsid wsp:val=&quot;0065074B&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5342&quot;/&gt;&lt;wsp:rsid wsp:val=&quot;0067658D&quot;/&gt;&lt;wsp:rsid wsp:val=&quot;00677CF1&quot;/&gt;&lt;wsp:rsid wsp:val=&quot;00677E9F&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96847&quot;/&gt;&lt;wsp:rsid wsp:val=&quot;006A255C&quot;/&gt;&lt;wsp:rsid wsp:val=&quot;006A2899&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16AE&quot;/&gt;&lt;wsp:rsid wsp:val=&quot;006C274B&quot;/&gt;&lt;wsp:rsid wsp:val=&quot;006C3F49&quot;/&gt;&lt;wsp:rsid wsp:val=&quot;006C50EE&quot;/&gt;&lt;wsp:rsid wsp:val=&quot;006C6AE2&quot;/&gt;&lt;wsp:rsid wsp:val=&quot;006C7A4B&quot;/&gt;&lt;wsp:rsid wsp:val=&quot;006D130D&quot;/&gt;&lt;wsp:rsid wsp:val=&quot;006D20DA&quot;/&gt;&lt;wsp:rsid wsp:val=&quot;006D3165&quot;/&gt;&lt;wsp:rsid wsp:val=&quot;006D7A0E&quot;/&gt;&lt;wsp:rsid wsp:val=&quot;006E1596&quot;/&gt;&lt;wsp:rsid wsp:val=&quot;006E1FF3&quot;/&gt;&lt;wsp:rsid wsp:val=&quot;006E29B9&quot;/&gt;&lt;wsp:rsid wsp:val=&quot;006E407E&quot;/&gt;&lt;wsp:rsid wsp:val=&quot;006E5673&quot;/&gt;&lt;wsp:rsid wsp:val=&quot;006E66DD&quot;/&gt;&lt;wsp:rsid wsp:val=&quot;006F0FB8&quot;/&gt;&lt;wsp:rsid wsp:val=&quot;006F135C&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15F0C&quot;/&gt;&lt;wsp:rsid wsp:val=&quot;007203C8&quot;/&gt;&lt;wsp:rsid wsp:val=&quot;00720496&quot;/&gt;&lt;wsp:rsid wsp:val=&quot;00721545&quot;/&gt;&lt;wsp:rsid wsp:val=&quot;0072164E&quot;/&gt;&lt;wsp:rsid wsp:val=&quot;00721704&quot;/&gt;&lt;wsp:rsid wsp:val=&quot;00722A0A&quot;/&gt;&lt;wsp:rsid wsp:val=&quot;00722C89&quot;/&gt;&lt;wsp:rsid wsp:val=&quot;0072399E&quot;/&gt;&lt;wsp:rsid wsp:val=&quot;00724973&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1069&quot;/&gt;&lt;wsp:rsid wsp:val=&quot;007560EA&quot;/&gt;&lt;wsp:rsid wsp:val=&quot;00756874&quot;/&gt;&lt;wsp:rsid wsp:val=&quot;00757025&quot;/&gt;&lt;wsp:rsid wsp:val=&quot;0075736E&quot;/&gt;&lt;wsp:rsid wsp:val=&quot;00760E00&quot;/&gt;&lt;wsp:rsid wsp:val=&quot;00761570&quot;/&gt;&lt;wsp:rsid wsp:val=&quot;00762BCE&quot;/&gt;&lt;wsp:rsid wsp:val=&quot;00763C91&quot;/&gt;&lt;wsp:rsid wsp:val=&quot;00764B12&quot;/&gt;&lt;wsp:rsid wsp:val=&quot;0076799C&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371E&quot;/&gt;&lt;wsp:rsid wsp:val=&quot;00784592&quot;/&gt;&lt;wsp:rsid wsp:val=&quot;00784890&quot;/&gt;&lt;wsp:rsid wsp:val=&quot;00784BF2&quot;/&gt;&lt;wsp:rsid wsp:val=&quot;00785E7F&quot;/&gt;&lt;wsp:rsid wsp:val=&quot;007860DD&quot;/&gt;&lt;wsp:rsid wsp:val=&quot;0078634F&quot;/&gt;&lt;wsp:rsid wsp:val=&quot;007864FE&quot;/&gt;&lt;wsp:rsid wsp:val=&quot;00787317&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4543&quot;/&gt;&lt;wsp:rsid wsp:val=&quot;007D6E7F&quot;/&gt;&lt;wsp:rsid wsp:val=&quot;007E116C&quot;/&gt;&lt;wsp:rsid wsp:val=&quot;007E3014&quot;/&gt;&lt;wsp:rsid wsp:val=&quot;007E4353&quot;/&gt;&lt;wsp:rsid wsp:val=&quot;007E53F6&quot;/&gt;&lt;wsp:rsid wsp:val=&quot;007E5906&quot;/&gt;&lt;wsp:rsid wsp:val=&quot;007E5EE9&quot;/&gt;&lt;wsp:rsid wsp:val=&quot;007E7061&quot;/&gt;&lt;wsp:rsid wsp:val=&quot;007E79BE&quot;/&gt;&lt;wsp:rsid wsp:val=&quot;007E7FCB&quot;/&gt;&lt;wsp:rsid wsp:val=&quot;007F21CD&quot;/&gt;&lt;wsp:rsid wsp:val=&quot;007F2445&quot;/&gt;&lt;wsp:rsid wsp:val=&quot;007F316D&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1446D&quot;/&gt;&lt;wsp:rsid wsp:val=&quot;00814699&quot;/&gt;&lt;wsp:rsid wsp:val=&quot;00817743&quot;/&gt;&lt;wsp:rsid wsp:val=&quot;00821556&quot;/&gt;&lt;wsp:rsid wsp:val=&quot;00821F2C&quot;/&gt;&lt;wsp:rsid wsp:val=&quot;008220C7&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1E28&quot;/&gt;&lt;wsp:rsid wsp:val=&quot;00842BFB&quot;/&gt;&lt;wsp:rsid wsp:val=&quot;00847786&quot;/&gt;&lt;wsp:rsid wsp:val=&quot;0085048F&quot;/&gt;&lt;wsp:rsid wsp:val=&quot;00853901&quot;/&gt;&lt;wsp:rsid wsp:val=&quot;00853E28&quot;/&gt;&lt;wsp:rsid wsp:val=&quot;008543CB&quot;/&gt;&lt;wsp:rsid wsp:val=&quot;00854556&quot;/&gt;&lt;wsp:rsid wsp:val=&quot;00854AFF&quot;/&gt;&lt;wsp:rsid wsp:val=&quot;00855E7E&quot;/&gt;&lt;wsp:rsid wsp:val=&quot;0085677D&quot;/&gt;&lt;wsp:rsid wsp:val=&quot;008609BD&quot;/&gt;&lt;wsp:rsid wsp:val=&quot;0086247A&quot;/&gt;&lt;wsp:rsid wsp:val=&quot;008626F6&quot;/&gt;&lt;wsp:rsid wsp:val=&quot;00864E0E&quot;/&gt;&lt;wsp:rsid wsp:val=&quot;008677F8&quot;/&gt;&lt;wsp:rsid wsp:val=&quot;00867EC2&quot;/&gt;&lt;wsp:rsid wsp:val=&quot;00870E43&quot;/&gt;&lt;wsp:rsid wsp:val=&quot;008723F6&quot;/&gt;&lt;wsp:rsid wsp:val=&quot;0087282C&quot;/&gt;&lt;wsp:rsid wsp:val=&quot;00872B47&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1B8E&quot;/&gt;&lt;wsp:rsid wsp:val=&quot;00882022&quot;/&gt;&lt;wsp:rsid wsp:val=&quot;008844F1&quot;/&gt;&lt;wsp:rsid wsp:val=&quot;00884ADD&quot;/&gt;&lt;wsp:rsid wsp:val=&quot;0088611D&quot;/&gt;&lt;wsp:rsid wsp:val=&quot;00886256&quot;/&gt;&lt;wsp:rsid wsp:val=&quot;00890A01&quot;/&gt;&lt;wsp:rsid wsp:val=&quot;00891CC4&quot;/&gt;&lt;wsp:rsid wsp:val=&quot;00896910&quot;/&gt;&lt;wsp:rsid wsp:val=&quot;00896BCB&quot;/&gt;&lt;wsp:rsid wsp:val=&quot;0089715E&quot;/&gt;&lt;wsp:rsid wsp:val=&quot;00897954&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362C&quot;/&gt;&lt;wsp:rsid wsp:val=&quot;00904C0E&quot;/&gt;&lt;wsp:rsid wsp:val=&quot;0090517A&quot;/&gt;&lt;wsp:rsid wsp:val=&quot;0090650B&quot;/&gt;&lt;wsp:rsid wsp:val=&quot;009075A4&quot;/&gt;&lt;wsp:rsid wsp:val=&quot;00907C38&quot;/&gt;&lt;wsp:rsid wsp:val=&quot;00910330&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5F67&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5&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0BA&quot;/&gt;&lt;wsp:rsid wsp:val=&quot;00952BD8&quot;/&gt;&lt;wsp:rsid wsp:val=&quot;00953883&quot;/&gt;&lt;wsp:rsid wsp:val=&quot;00953FB6&quot;/&gt;&lt;wsp:rsid wsp:val=&quot;00954DFA&quot;/&gt;&lt;wsp:rsid wsp:val=&quot;00954ED7&quot;/&gt;&lt;wsp:rsid wsp:val=&quot;009559A2&quot;/&gt;&lt;wsp:rsid wsp:val=&quot;009571B9&quot;/&gt;&lt;wsp:rsid wsp:val=&quot;00957FBE&quot;/&gt;&lt;wsp:rsid wsp:val=&quot;00960060&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1E03&quot;/&gt;&lt;wsp:rsid wsp:val=&quot;00973F28&quot;/&gt;&lt;wsp:rsid wsp:val=&quot;00973FA2&quot;/&gt;&lt;wsp:rsid wsp:val=&quot;00974866&quot;/&gt;&lt;wsp:rsid wsp:val=&quot;009762CD&quot;/&gt;&lt;wsp:rsid wsp:val=&quot;00980491&quot;/&gt;&lt;wsp:rsid wsp:val=&quot;009808F5&quot;/&gt;&lt;wsp:rsid wsp:val=&quot;00981D9F&quot;/&gt;&lt;wsp:rsid wsp:val=&quot;00982DA0&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1F5E&quot;/&gt;&lt;wsp:rsid wsp:val=&quot;009D25E3&quot;/&gt;&lt;wsp:rsid wsp:val=&quot;009D49BC&quot;/&gt;&lt;wsp:rsid wsp:val=&quot;009D6963&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1151&quot;/&gt;&lt;wsp:rsid wsp:val=&quot;009F46E3&quot;/&gt;&lt;wsp:rsid wsp:val=&quot;009F4830&quot;/&gt;&lt;wsp:rsid wsp:val=&quot;009F69FB&quot;/&gt;&lt;wsp:rsid wsp:val=&quot;00A0110D&quot;/&gt;&lt;wsp:rsid wsp:val=&quot;00A04FA4&quot;/&gt;&lt;wsp:rsid wsp:val=&quot;00A07D2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2CC3&quot;/&gt;&lt;wsp:rsid wsp:val=&quot;00A63863&quot;/&gt;&lt;wsp:rsid wsp:val=&quot;00A64301&quot;/&gt;&lt;wsp:rsid wsp:val=&quot;00A667FD&quot;/&gt;&lt;wsp:rsid wsp:val=&quot;00A71167&quot;/&gt;&lt;wsp:rsid wsp:val=&quot;00A71D04&quot;/&gt;&lt;wsp:rsid wsp:val=&quot;00A72D98&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1ED3&quot;/&gt;&lt;wsp:rsid wsp:val=&quot;00A924D1&quot;/&gt;&lt;wsp:rsid wsp:val=&quot;00A95126&quot;/&gt;&lt;wsp:rsid wsp:val=&quot;00A9661B&quot;/&gt;&lt;wsp:rsid wsp:val=&quot;00AA09D7&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6A75&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1FD&quot;/&gt;&lt;wsp:rsid wsp:val=&quot;00B027F4&quot;/&gt;&lt;wsp:rsid wsp:val=&quot;00B02CFA&quot;/&gt;&lt;wsp:rsid wsp:val=&quot;00B04276&quot;/&gt;&lt;wsp:rsid wsp:val=&quot;00B042C3&quot;/&gt;&lt;wsp:rsid wsp:val=&quot;00B047FB&quot;/&gt;&lt;wsp:rsid wsp:val=&quot;00B057B7&quot;/&gt;&lt;wsp:rsid wsp:val=&quot;00B13627&quot;/&gt;&lt;wsp:rsid wsp:val=&quot;00B13801&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36AC4&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2BC&quot;/&gt;&lt;wsp:rsid wsp:val=&quot;00B51372&quot;/&gt;&lt;wsp:rsid wsp:val=&quot;00B51987&quot;/&gt;&lt;wsp:rsid wsp:val=&quot;00B519BD&quot;/&gt;&lt;wsp:rsid wsp:val=&quot;00B52708&quot;/&gt;&lt;wsp:rsid wsp:val=&quot;00B529BC&quot;/&gt;&lt;wsp:rsid wsp:val=&quot;00B52B32&quot;/&gt;&lt;wsp:rsid wsp:val=&quot;00B54F4D&quot;/&gt;&lt;wsp:rsid wsp:val=&quot;00B55528&quot;/&gt;&lt;wsp:rsid wsp:val=&quot;00B55621&quot;/&gt;&lt;wsp:rsid wsp:val=&quot;00B55DB1&quot;/&gt;&lt;wsp:rsid wsp:val=&quot;00B56F1C&quot;/&gt;&lt;wsp:rsid wsp:val=&quot;00B601DC&quot;/&gt;&lt;wsp:rsid wsp:val=&quot;00B616D7&quot;/&gt;&lt;wsp:rsid wsp:val=&quot;00B631FD&quot;/&gt;&lt;wsp:rsid wsp:val=&quot;00B63624&quot;/&gt;&lt;wsp:rsid wsp:val=&quot;00B639F2&quot;/&gt;&lt;wsp:rsid wsp:val=&quot;00B640E8&quot;/&gt;&lt;wsp:rsid wsp:val=&quot;00B65473&quot;/&gt;&lt;wsp:rsid wsp:val=&quot;00B66FDF&quot;/&gt;&lt;wsp:rsid wsp:val=&quot;00B70F7C&quot;/&gt;&lt;wsp:rsid wsp:val=&quot;00B7219D&quot;/&gt;&lt;wsp:rsid wsp:val=&quot;00B727C9&quot;/&gt;&lt;wsp:rsid wsp:val=&quot;00B74008&quot;/&gt;&lt;wsp:rsid wsp:val=&quot;00B747D3&quot;/&gt;&lt;wsp:rsid wsp:val=&quot;00B75DE1&quot;/&gt;&lt;wsp:rsid wsp:val=&quot;00B80F17&quot;/&gt;&lt;wsp:rsid wsp:val=&quot;00B86333&quot;/&gt;&lt;wsp:rsid wsp:val=&quot;00B906C7&quot;/&gt;&lt;wsp:rsid wsp:val=&quot;00B94A19&quot;/&gt;&lt;wsp:rsid wsp:val=&quot;00B964BE&quot;/&gt;&lt;wsp:rsid wsp:val=&quot;00B976A8&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41E0&quot;/&gt;&lt;wsp:rsid wsp:val=&quot;00BB52CF&quot;/&gt;&lt;wsp:rsid wsp:val=&quot;00BB5369&quot;/&gt;&lt;wsp:rsid wsp:val=&quot;00BB56DE&quot;/&gt;&lt;wsp:rsid wsp:val=&quot;00BC0B79&quot;/&gt;&lt;wsp:rsid wsp:val=&quot;00BC0C1F&quot;/&gt;&lt;wsp:rsid wsp:val=&quot;00BC2941&quot;/&gt;&lt;wsp:rsid wsp:val=&quot;00BC29C2&quot;/&gt;&lt;wsp:rsid wsp:val=&quot;00BC370E&quot;/&gt;&lt;wsp:rsid wsp:val=&quot;00BC3D43&quot;/&gt;&lt;wsp:rsid wsp:val=&quot;00BC7386&quot;/&gt;&lt;wsp:rsid wsp:val=&quot;00BC75B5&quot;/&gt;&lt;wsp:rsid wsp:val=&quot;00BD10D2&quot;/&gt;&lt;wsp:rsid wsp:val=&quot;00BD114B&quot;/&gt;&lt;wsp:rsid wsp:val=&quot;00BD4762&quot;/&gt;&lt;wsp:rsid wsp:val=&quot;00BD491D&quot;/&gt;&lt;wsp:rsid wsp:val=&quot;00BD4FA9&quot;/&gt;&lt;wsp:rsid wsp:val=&quot;00BD5E6D&quot;/&gt;&lt;wsp:rsid wsp:val=&quot;00BD604C&quot;/&gt;&lt;wsp:rsid wsp:val=&quot;00BE3B07&quot;/&gt;&lt;wsp:rsid wsp:val=&quot;00BE6024&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02E&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2F22&quot;/&gt;&lt;wsp:rsid wsp:val=&quot;00C26E62&quot;/&gt;&lt;wsp:rsid wsp:val=&quot;00C2739B&quot;/&gt;&lt;wsp:rsid wsp:val=&quot;00C30853&quot;/&gt;&lt;wsp:rsid wsp:val=&quot;00C31265&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8D3&quot;/&gt;&lt;wsp:rsid wsp:val=&quot;00C55F50&quot;/&gt;&lt;wsp:rsid wsp:val=&quot;00C569AB&quot;/&gt;&lt;wsp:rsid wsp:val=&quot;00C569CC&quot;/&gt;&lt;wsp:rsid wsp:val=&quot;00C57ACC&quot;/&gt;&lt;wsp:rsid wsp:val=&quot;00C62130&quot;/&gt;&lt;wsp:rsid wsp:val=&quot;00C6529A&quot;/&gt;&lt;wsp:rsid wsp:val=&quot;00C70079&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16CA&quot;/&gt;&lt;wsp:rsid wsp:val=&quot;00C84ACC&quot;/&gt;&lt;wsp:rsid wsp:val=&quot;00C84B47&quot;/&gt;&lt;wsp:rsid wsp:val=&quot;00C85321&quot;/&gt;&lt;wsp:rsid wsp:val=&quot;00C86B16&quot;/&gt;&lt;wsp:rsid wsp:val=&quot;00C878E9&quot;/&gt;&lt;wsp:rsid wsp:val=&quot;00C91D1C&quot;/&gt;&lt;wsp:rsid wsp:val=&quot;00C941C9&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D7CC4&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8B1&quot;/&gt;&lt;wsp:rsid wsp:val=&quot;00D16974&quot;/&gt;&lt;wsp:rsid wsp:val=&quot;00D20BAF&quot;/&gt;&lt;wsp:rsid wsp:val=&quot;00D20F88&quot;/&gt;&lt;wsp:rsid wsp:val=&quot;00D21238&quot;/&gt;&lt;wsp:rsid wsp:val=&quot;00D21BF2&quot;/&gt;&lt;wsp:rsid wsp:val=&quot;00D24512&quot;/&gt;&lt;wsp:rsid wsp:val=&quot;00D25D15&quot;/&gt;&lt;wsp:rsid wsp:val=&quot;00D26D98&quot;/&gt;&lt;wsp:rsid wsp:val=&quot;00D3374A&quot;/&gt;&lt;wsp:rsid wsp:val=&quot;00D34E06&quot;/&gt;&lt;wsp:rsid wsp:val=&quot;00D3600E&quot;/&gt;&lt;wsp:rsid wsp:val=&quot;00D4033B&quot;/&gt;&lt;wsp:rsid wsp:val=&quot;00D40A92&quot;/&gt;&lt;wsp:rsid wsp:val=&quot;00D4230C&quot;/&gt;&lt;wsp:rsid wsp:val=&quot;00D4263C&quot;/&gt;&lt;wsp:rsid wsp:val=&quot;00D43594&quot;/&gt;&lt;wsp:rsid wsp:val=&quot;00D43CBF&quot;/&gt;&lt;wsp:rsid wsp:val=&quot;00D44D53&quot;/&gt;&lt;wsp:rsid wsp:val=&quot;00D464A2&quot;/&gt;&lt;wsp:rsid wsp:val=&quot;00D506D0&quot;/&gt;&lt;wsp:rsid wsp:val=&quot;00D50E15&quot;/&gt;&lt;wsp:rsid wsp:val=&quot;00D51795&quot;/&gt;&lt;wsp:rsid wsp:val=&quot;00D52A83&quot;/&gt;&lt;wsp:rsid wsp:val=&quot;00D5616D&quot;/&gt;&lt;wsp:rsid wsp:val=&quot;00D5711F&quot;/&gt;&lt;wsp:rsid wsp:val=&quot;00D6167F&quot;/&gt;&lt;wsp:rsid wsp:val=&quot;00D616F1&quot;/&gt;&lt;wsp:rsid wsp:val=&quot;00D63474&quot;/&gt;&lt;wsp:rsid wsp:val=&quot;00D63714&quot;/&gt;&lt;wsp:rsid wsp:val=&quot;00D6383D&quot;/&gt;&lt;wsp:rsid wsp:val=&quot;00D63AFC&quot;/&gt;&lt;wsp:rsid wsp:val=&quot;00D64B68&quot;/&gt;&lt;wsp:rsid wsp:val=&quot;00D66373&quot;/&gt;&lt;wsp:rsid wsp:val=&quot;00D66C53&quot;/&gt;&lt;wsp:rsid wsp:val=&quot;00D6781B&quot;/&gt;&lt;wsp:rsid wsp:val=&quot;00D67BE8&quot;/&gt;&lt;wsp:rsid wsp:val=&quot;00D701C3&quot;/&gt;&lt;wsp:rsid wsp:val=&quot;00D72213&quot;/&gt;&lt;wsp:rsid wsp:val=&quot;00D76391&quot;/&gt;&lt;wsp:rsid wsp:val=&quot;00D76736&quot;/&gt;&lt;wsp:rsid wsp:val=&quot;00D81D6F&quot;/&gt;&lt;wsp:rsid wsp:val=&quot;00D8292D&quot;/&gt;&lt;wsp:rsid wsp:val=&quot;00D82F01&quot;/&gt;&lt;wsp:rsid wsp:val=&quot;00D82F8E&quot;/&gt;&lt;wsp:rsid wsp:val=&quot;00D85299&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686F&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03FD&quot;/&gt;&lt;wsp:rsid wsp:val=&quot;00DB156D&quot;/&gt;&lt;wsp:rsid wsp:val=&quot;00DB17FD&quot;/&gt;&lt;wsp:rsid wsp:val=&quot;00DB25C9&quot;/&gt;&lt;wsp:rsid wsp:val=&quot;00DB2887&quot;/&gt;&lt;wsp:rsid wsp:val=&quot;00DB3AC5&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0B43&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3C9&quot;/&gt;&lt;wsp:rsid wsp:val=&quot;00DE144D&quot;/&gt;&lt;wsp:rsid wsp:val=&quot;00DE15ED&quot;/&gt;&lt;wsp:rsid wsp:val=&quot;00DE1739&quot;/&gt;&lt;wsp:rsid wsp:val=&quot;00DE6C95&quot;/&gt;&lt;wsp:rsid wsp:val=&quot;00DF0111&quot;/&gt;&lt;wsp:rsid wsp:val=&quot;00DF5416&quot;/&gt;&lt;wsp:rsid wsp:val=&quot;00E00053&quot;/&gt;&lt;wsp:rsid wsp:val=&quot;00E00BB2&quot;/&gt;&lt;wsp:rsid wsp:val=&quot;00E021E5&quot;/&gt;&lt;wsp:rsid wsp:val=&quot;00E02359&quot;/&gt;&lt;wsp:rsid wsp:val=&quot;00E03022&quot;/&gt;&lt;wsp:rsid wsp:val=&quot;00E04707&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1FD9&quot;/&gt;&lt;wsp:rsid wsp:val=&quot;00E22104&quot;/&gt;&lt;wsp:rsid wsp:val=&quot;00E24A3F&quot;/&gt;&lt;wsp:rsid wsp:val=&quot;00E25D1D&quot;/&gt;&lt;wsp:rsid wsp:val=&quot;00E2627F&quot;/&gt;&lt;wsp:rsid wsp:val=&quot;00E26964&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483&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A5&quot;/&gt;&lt;wsp:rsid wsp:val=&quot;00E730D0&quot;/&gt;&lt;wsp:rsid wsp:val=&quot;00E74753&quot;/&gt;&lt;wsp:rsid wsp:val=&quot;00E7512C&quot;/&gt;&lt;wsp:rsid wsp:val=&quot;00E75737&quot;/&gt;&lt;wsp:rsid wsp:val=&quot;00E75E82&quot;/&gt;&lt;wsp:rsid wsp:val=&quot;00E7769E&quot;/&gt;&lt;wsp:rsid wsp:val=&quot;00E81458&quot;/&gt;&lt;wsp:rsid wsp:val=&quot;00E8276B&quot;/&gt;&lt;wsp:rsid wsp:val=&quot;00E828C3&quot;/&gt;&lt;wsp:rsid wsp:val=&quot;00E83543&quot;/&gt;&lt;wsp:rsid wsp:val=&quot;00E83CC5&quot;/&gt;&lt;wsp:rsid wsp:val=&quot;00E840A5&quot;/&gt;&lt;wsp:rsid wsp:val=&quot;00E85A53&quot;/&gt;&lt;wsp:rsid wsp:val=&quot;00E87AB9&quot;/&gt;&lt;wsp:rsid wsp:val=&quot;00E90CED&quot;/&gt;&lt;wsp:rsid wsp:val=&quot;00E91816&quot;/&gt;&lt;wsp:rsid wsp:val=&quot;00E94D93&quot;/&gt;&lt;wsp:rsid wsp:val=&quot;00E95A5C&quot;/&gt;&lt;wsp:rsid wsp:val=&quot;00E95F0A&quot;/&gt;&lt;wsp:rsid wsp:val=&quot;00E968DC&quot;/&gt;&lt;wsp:rsid wsp:val=&quot;00E97987&quot;/&gt;&lt;wsp:rsid wsp:val=&quot;00EA0D4F&quot;/&gt;&lt;wsp:rsid wsp:val=&quot;00EA1EF6&quot;/&gt;&lt;wsp:rsid wsp:val=&quot;00EA20AC&quot;/&gt;&lt;wsp:rsid wsp:val=&quot;00EA21B3&quot;/&gt;&lt;wsp:rsid wsp:val=&quot;00EA235C&quot;/&gt;&lt;wsp:rsid wsp:val=&quot;00EA3085&quot;/&gt;&lt;wsp:rsid wsp:val=&quot;00EA78CB&quot;/&gt;&lt;wsp:rsid wsp:val=&quot;00EA7990&quot;/&gt;&lt;wsp:rsid wsp:val=&quot;00EB0E0F&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B17&quot;/&gt;&lt;wsp:rsid wsp:val=&quot;00EE1DB6&quot;/&gt;&lt;wsp:rsid wsp:val=&quot;00EE5BF5&quot;/&gt;&lt;wsp:rsid wsp:val=&quot;00EE700F&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771&quot;/&gt;&lt;wsp:rsid wsp:val=&quot;00F00BDB&quot;/&gt;&lt;wsp:rsid wsp:val=&quot;00F053A6&quot;/&gt;&lt;wsp:rsid wsp:val=&quot;00F07602&quot;/&gt;&lt;wsp:rsid wsp:val=&quot;00F07B8D&quot;/&gt;&lt;wsp:rsid wsp:val=&quot;00F07D58&quot;/&gt;&lt;wsp:rsid wsp:val=&quot;00F1076C&quot;/&gt;&lt;wsp:rsid wsp:val=&quot;00F10F06&quot;/&gt;&lt;wsp:rsid wsp:val=&quot;00F1304F&quot;/&gt;&lt;wsp:rsid wsp:val=&quot;00F13A18&quot;/&gt;&lt;wsp:rsid wsp:val=&quot;00F1518F&quot;/&gt;&lt;wsp:rsid wsp:val=&quot;00F15389&quot;/&gt;&lt;wsp:rsid wsp:val=&quot;00F1599E&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286F&quot;/&gt;&lt;wsp:rsid wsp:val=&quot;00F33DA4&quot;/&gt;&lt;wsp:rsid wsp:val=&quot;00F3493A&quot;/&gt;&lt;wsp:rsid wsp:val=&quot;00F353C6&quot;/&gt;&lt;wsp:rsid wsp:val=&quot;00F36949&quot;/&gt;&lt;wsp:rsid wsp:val=&quot;00F36C74&quot;/&gt;&lt;wsp:rsid wsp:val=&quot;00F37644&quot;/&gt;&lt;wsp:rsid wsp:val=&quot;00F44456&quot;/&gt;&lt;wsp:rsid wsp:val=&quot;00F44AAD&quot;/&gt;&lt;wsp:rsid wsp:val=&quot;00F44ADB&quot;/&gt;&lt;wsp:rsid wsp:val=&quot;00F45D8C&quot;/&gt;&lt;wsp:rsid wsp:val=&quot;00F460E7&quot;/&gt;&lt;wsp:rsid wsp:val=&quot;00F5134E&quot;/&gt;&lt;wsp:rsid wsp:val=&quot;00F52B54&quot;/&gt;&lt;wsp:rsid wsp:val=&quot;00F541CD&quot;/&gt;&lt;wsp:rsid wsp:val=&quot;00F609A6&quot;/&gt;&lt;wsp:rsid wsp:val=&quot;00F61405&quot;/&gt;&lt;wsp:rsid wsp:val=&quot;00F61573&quot;/&gt;&lt;wsp:rsid wsp:val=&quot;00F632C7&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4E42&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3D51&quot;/&gt;&lt;wsp:rsid wsp:val=&quot;00FA4646&quot;/&gt;&lt;wsp:rsid wsp:val=&quot;00FA6DD9&quot;/&gt;&lt;wsp:rsid wsp:val=&quot;00FA7C6E&quot;/&gt;&lt;wsp:rsid wsp:val=&quot;00FB02B8&quot;/&gt;&lt;wsp:rsid wsp:val=&quot;00FB0F0E&quot;/&gt;&lt;wsp:rsid wsp:val=&quot;00FB1E36&quot;/&gt;&lt;wsp:rsid wsp:val=&quot;00FB3721&quot;/&gt;&lt;wsp:rsid wsp:val=&quot;00FC0112&quot;/&gt;&lt;wsp:rsid wsp:val=&quot;00FC2435&quot;/&gt;&lt;wsp:rsid wsp:val=&quot;00FC2853&quot;/&gt;&lt;wsp:rsid wsp:val=&quot;00FC2A3B&quot;/&gt;&lt;wsp:rsid wsp:val=&quot;00FC56EC&quot;/&gt;&lt;wsp:rsid wsp:val=&quot;00FC5F97&quot;/&gt;&lt;wsp:rsid wsp:val=&quot;00FC5FCE&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 wsp:val=&quot;01913EE5&quot;/&gt;&lt;wsp:rsid wsp:val=&quot;028F592D&quot;/&gt;&lt;wsp:rsid wsp:val=&quot;03442226&quot;/&gt;&lt;wsp:rsid wsp:val=&quot;03653EFA&quot;/&gt;&lt;wsp:rsid wsp:val=&quot;041A1B6C&quot;/&gt;&lt;wsp:rsid wsp:val=&quot;05076F73&quot;/&gt;&lt;wsp:rsid wsp:val=&quot;069D413E&quot;/&gt;&lt;wsp:rsid wsp:val=&quot;0AED07E6&quot;/&gt;&lt;wsp:rsid wsp:val=&quot;0C5000D6&quot;/&gt;&lt;wsp:rsid wsp:val=&quot;0D5027DF&quot;/&gt;&lt;wsp:rsid wsp:val=&quot;0DAA3665&quot;/&gt;&lt;wsp:rsid wsp:val=&quot;0F522479&quot;/&gt;&lt;wsp:rsid wsp:val=&quot;0F964C30&quot;/&gt;&lt;wsp:rsid wsp:val=&quot;10954101&quot;/&gt;&lt;wsp:rsid wsp:val=&quot;129670E6&quot;/&gt;&lt;wsp:rsid wsp:val=&quot;13535C1D&quot;/&gt;&lt;wsp:rsid wsp:val=&quot;13B00235&quot;/&gt;&lt;wsp:rsid wsp:val=&quot;142D3110&quot;/&gt;&lt;wsp:rsid wsp:val=&quot;147D7105&quot;/&gt;&lt;wsp:rsid wsp:val=&quot;15505755&quot;/&gt;&lt;wsp:rsid wsp:val=&quot;162D6DFB&quot;/&gt;&lt;wsp:rsid wsp:val=&quot;16A6727C&quot;/&gt;&lt;wsp:rsid wsp:val=&quot;176F31FD&quot;/&gt;&lt;wsp:rsid wsp:val=&quot;1AE579CF&quot;/&gt;&lt;wsp:rsid wsp:val=&quot;1B7B1F7C&quot;/&gt;&lt;wsp:rsid wsp:val=&quot;1BDF4200&quot;/&gt;&lt;wsp:rsid wsp:val=&quot;1C461BF2&quot;/&gt;&lt;wsp:rsid wsp:val=&quot;1CBE498C&quot;/&gt;&lt;wsp:rsid wsp:val=&quot;1F633C25&quot;/&gt;&lt;wsp:rsid wsp:val=&quot;1FE525D4&quot;/&gt;&lt;wsp:rsid wsp:val=&quot;21962554&quot;/&gt;&lt;wsp:rsid wsp:val=&quot;21AB295D&quot;/&gt;&lt;wsp:rsid wsp:val=&quot;21E62F9A&quot;/&gt;&lt;wsp:rsid wsp:val=&quot;23FC2058&quot;/&gt;&lt;wsp:rsid wsp:val=&quot;24083460&quot;/&gt;&lt;wsp:rsid wsp:val=&quot;240C1A97&quot;/&gt;&lt;wsp:rsid wsp:val=&quot;24402A29&quot;/&gt;&lt;wsp:rsid wsp:val=&quot;24EF1192&quot;/&gt;&lt;wsp:rsid wsp:val=&quot;26B54D1B&quot;/&gt;&lt;wsp:rsid wsp:val=&quot;27504F53&quot;/&gt;&lt;wsp:rsid wsp:val=&quot;27EC0D41&quot;/&gt;&lt;wsp:rsid wsp:val=&quot;288C7A13&quot;/&gt;&lt;wsp:rsid wsp:val=&quot;29280A4A&quot;/&gt;&lt;wsp:rsid wsp:val=&quot;2A242902&quot;/&gt;&lt;wsp:rsid wsp:val=&quot;2B0F5A52&quot;/&gt;&lt;wsp:rsid wsp:val=&quot;2BA210C8&quot;/&gt;&lt;wsp:rsid wsp:val=&quot;2C322210&quot;/&gt;&lt;wsp:rsid wsp:val=&quot;2C880EAC&quot;/&gt;&lt;wsp:rsid wsp:val=&quot;2D0B45D8&quot;/&gt;&lt;wsp:rsid wsp:val=&quot;2D7A5F58&quot;/&gt;&lt;wsp:rsid wsp:val=&quot;2DE5090C&quot;/&gt;&lt;wsp:rsid wsp:val=&quot;2F245151&quot;/&gt;&lt;wsp:rsid wsp:val=&quot;2F9C50D7&quot;/&gt;&lt;wsp:rsid wsp:val=&quot;31CE7C91&quot;/&gt;&lt;wsp:rsid wsp:val=&quot;3337290D&quot;/&gt;&lt;wsp:rsid wsp:val=&quot;36284D13&quot;/&gt;&lt;wsp:rsid wsp:val=&quot;3894435E&quot;/&gt;&lt;wsp:rsid wsp:val=&quot;39093C9F&quot;/&gt;&lt;wsp:rsid wsp:val=&quot;3A3141FD&quot;/&gt;&lt;wsp:rsid wsp:val=&quot;3A4F2B98&quot;/&gt;&lt;wsp:rsid wsp:val=&quot;3ADB3587&quot;/&gt;&lt;wsp:rsid wsp:val=&quot;3B7A0243&quot;/&gt;&lt;wsp:rsid wsp:val=&quot;3D3B012F&quot;/&gt;&lt;wsp:rsid wsp:val=&quot;3F946430&quot;/&gt;&lt;wsp:rsid wsp:val=&quot;414D6E8F&quot;/&gt;&lt;wsp:rsid wsp:val=&quot;44C457EC&quot;/&gt;&lt;wsp:rsid wsp:val=&quot;453D5151&quot;/&gt;&lt;wsp:rsid wsp:val=&quot;46087ED9&quot;/&gt;&lt;wsp:rsid wsp:val=&quot;464F3E74&quot;/&gt;&lt;wsp:rsid wsp:val=&quot;47B7007B&quot;/&gt;&lt;wsp:rsid wsp:val=&quot;4AF34469&quot;/&gt;&lt;wsp:rsid wsp:val=&quot;4DC67269&quot;/&gt;&lt;wsp:rsid wsp:val=&quot;4EB12B06&quot;/&gt;&lt;wsp:rsid wsp:val=&quot;500669FA&quot;/&gt;&lt;wsp:rsid wsp:val=&quot;50780669&quot;/&gt;&lt;wsp:rsid wsp:val=&quot;510F2B1C&quot;/&gt;&lt;wsp:rsid wsp:val=&quot;531F30EF&quot;/&gt;&lt;wsp:rsid wsp:val=&quot;53FC68EC&quot;/&gt;&lt;wsp:rsid wsp:val=&quot;55C31C18&quot;/&gt;&lt;wsp:rsid wsp:val=&quot;563802EA&quot;/&gt;&lt;wsp:rsid wsp:val=&quot;56DC4230&quot;/&gt;&lt;wsp:rsid wsp:val=&quot;57504909&quot;/&gt;&lt;wsp:rsid wsp:val=&quot;583E2C99&quot;/&gt;&lt;wsp:rsid wsp:val=&quot;59801151&quot;/&gt;&lt;wsp:rsid wsp:val=&quot;5DF259C4&quot;/&gt;&lt;wsp:rsid wsp:val=&quot;60B62CF0&quot;/&gt;&lt;wsp:rsid wsp:val=&quot;64894531&quot;/&gt;&lt;wsp:rsid wsp:val=&quot;65185966&quot;/&gt;&lt;wsp:rsid wsp:val=&quot;651B6D5B&quot;/&gt;&lt;wsp:rsid wsp:val=&quot;655E3BFF&quot;/&gt;&lt;wsp:rsid wsp:val=&quot;65D861FB&quot;/&gt;&lt;wsp:rsid wsp:val=&quot;66874C3F&quot;/&gt;&lt;wsp:rsid wsp:val=&quot;66B83AD3&quot;/&gt;&lt;wsp:rsid wsp:val=&quot;67297020&quot;/&gt;&lt;wsp:rsid wsp:val=&quot;67C878B1&quot;/&gt;&lt;wsp:rsid wsp:val=&quot;68856D5A&quot;/&gt;&lt;wsp:rsid wsp:val=&quot;69E43F64&quot;/&gt;&lt;wsp:rsid wsp:val=&quot;6A4F07BF&quot;/&gt;&lt;wsp:rsid wsp:val=&quot;6AE00E93&quot;/&gt;&lt;wsp:rsid wsp:val=&quot;6B6272BA&quot;/&gt;&lt;wsp:rsid wsp:val=&quot;6D5814A1&quot;/&gt;&lt;wsp:rsid wsp:val=&quot;6EC31DA1&quot;/&gt;&lt;wsp:rsid wsp:val=&quot;6F0179C4&quot;/&gt;&lt;wsp:rsid wsp:val=&quot;71D35B1D&quot;/&gt;&lt;wsp:rsid wsp:val=&quot;73A2363E&quot;/&gt;&lt;wsp:rsid wsp:val=&quot;73BA76AB&quot;/&gt;&lt;wsp:rsid wsp:val=&quot;74864E1F&quot;/&gt;&lt;wsp:rsid wsp:val=&quot;75E507FE&quot;/&gt;&lt;wsp:rsid wsp:val=&quot;762A50E3&quot;/&gt;&lt;wsp:rsid wsp:val=&quot;76832D14&quot;/&gt;&lt;wsp:rsid wsp:val=&quot;770120C4&quot;/&gt;&lt;wsp:rsid wsp:val=&quot;792621D5&quot;/&gt;&lt;wsp:rsid wsp:val=&quot;79CF15E2&quot;/&gt;&lt;wsp:rsid wsp:val=&quot;7B1A1859&quot;/&gt;&lt;wsp:rsid wsp:val=&quot;7D934810&quot;/&gt;&lt;wsp:rsid wsp:val=&quot;7D98132E&quot;/&gt;&lt;wsp:rsid wsp:val=&quot;7DBB021F&quot;/&gt;&lt;wsp:rsid wsp:val=&quot;7E502455&quot;/&gt;&lt;wsp:rsid wsp:val=&quot;7E6B465F&quot;/&gt;&lt;wsp:rsid wsp:val=&quot;7FF4188E&quot;/&gt;&lt;/wsp:rsids&gt;&lt;/w:docPr&gt;&lt;w:body&gt;&lt;wx:sect&gt;&lt;w:p wsp:rsidR=&quot;00000000&quot; wsp:rsidRDefault=&quot;00F3493A&quot; wsp:rsidP=&quot;00F3493A&quot;&gt;&lt;m:oMathPara&gt;&lt;m:oMath&gt;&lt;m:r&gt;&lt;w:rPr&gt;&lt;w:rFonts w:ascii=&quot;Cambria Math&quot; w:h-ansi=&quot;Cambria Math&quot;/&gt;&lt;wx:font wx:val=&quot;Cambria Math&quot;/&gt;&lt;w:i/&gt;&lt;w:sz-cs w:val=&quot;20&quot;/&gt;&lt;w:lang w:fareast=&quot;KO&quot;/&gt;&lt;/w:rPr&gt;&lt;m:t&gt;m+3&lt;/m:t&gt;&lt;/m:r&gt;&lt;m:sSubSup&gt;&lt;m:sSubSupPr&gt;&lt;m:ctrlPr&gt;&lt;w:rPr&gt;&lt;w:rFonts w:ascii=&quot;Cambria Math&quot; w:h-ansi=&quot;Cambria Math&quot;/&gt;&lt;wx:font wx:val=&quot;Cambria Math&quot;/&gt;&lt;w:b-cs/&gt;&lt;w:i/&gt;&lt;w:sz-cs w:val=&quot;20&quot;/&gt;&lt;w:lang w:fareast=&quot;KO&quot;/&gt;&lt;/w:rPr&gt;&lt;/m:ctrlPr&gt;&lt;/m:sSubSupPr&gt;&lt;m:e&gt;&lt;m:r&gt;&lt;w:rPr&gt;&lt;w:rFonts w:ascii=&quot;Cambria Math&quot; w:h-ansi=&quot;Cambria Math&quot;/&gt;&lt;wx:font wx:val=&quot;Cambria Math&quot;/&gt;&lt;w:i/&gt;&lt;w:sz-cs w:val=&quot;20&quot;/&gt;&lt;w:lang w:fareast=&quot;KO&quot;/&gt;&lt;/w:rPr&gt;&lt;m:t&gt;N&lt;/m:t&gt;&lt;/m:r&gt;&lt;/m:e&gt;&lt;m:sub&gt;&lt;m:r&gt;&lt;m:rPr&gt;&lt;m:nor/&gt;&lt;/m:rPr&gt;&lt;w:rPr&gt;&lt;w:rFonts w:ascii=&quot;Times New Roman&quot; w:h-ansi=&quot;Times New Roman&quot;/&gt;&lt;wx:font wx:val=&quot;Times New Roman&quot;/&gt;&lt;w:b-cs/&gt;&lt;w:i/&gt;&lt;w:sz-cs w:val=&quot;20&quot;/&gt;&lt;w:lang w:fareast=&quot;KO&quot;/&gt;&lt;/w:rPr&gt;&lt;m:t&gt;slot&lt;/m:t&gt;&lt;/m:r&gt;&lt;/m:sub&gt;&lt;m:sup&gt;&lt;m:r&gt;&lt;m:rPr&gt;&lt;m:nor/&gt;&lt;/m:rPr&gt;&lt;w:rPr&gt;&lt;w:rFonts w:ascii=&quot;Times New Roman&quot; w:h-ansi=&quot;Times New Roman&quot;/&gt;&lt;wx:font wx:val=&quot;Times New Roman&quot;/&gt;&lt;w:b-cs/&gt;&lt;w:i/&gt;&lt;w:sz-cs w:val=&quot;20&quot;/&gt;&lt;w:lang w:fareast=&quot;KO&quot;/&gt;&lt;/w:rPr&gt;&lt;m:t&gt;subframe&lt;/m:t&gt;&lt;/m:r&gt;&lt;m:r&gt;&lt;w:rPr&gt;&lt;w:rFonts w:ascii=&quot;Cambria Math&quot; w:h-ansi=&quot;Cambria Math&quot;/&gt;&lt;wx:font wx:val=&quot;Cambria Math&quot;/&gt;&lt;w:i/&gt;&lt;w:sz-cs w:val=&quot;20&quot;/&gt;&lt;w:lang w:fareast=&quot;KO&quot;/&gt;&lt;/w:rPr&gt;&lt;m:t&gt;,μ&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Times New Roman" w:hAnsi="Times New Roman"/>
                <w:szCs w:val="20"/>
                <w:lang w:eastAsia="ko-KR"/>
              </w:rPr>
              <w:fldChar w:fldCharType="end"/>
            </w:r>
            <w:r>
              <w:rPr>
                <w:rFonts w:ascii="Times New Roman" w:hAnsi="Times New Roman"/>
                <w:szCs w:val="20"/>
                <w:lang w:eastAsia="ko-KR"/>
              </w:rPr>
              <w:t>+1</w:t>
            </w:r>
          </w:p>
          <w:p>
            <w:pPr>
              <w:numPr>
                <w:ilvl w:val="1"/>
                <w:numId w:val="9"/>
              </w:numPr>
              <w:contextualSpacing/>
              <w:jc w:val="both"/>
              <w:rPr>
                <w:rFonts w:ascii="Times New Roman" w:hAnsi="Times New Roman"/>
                <w:szCs w:val="20"/>
                <w:lang w:eastAsia="ko-KR"/>
              </w:rPr>
            </w:pPr>
            <w:r>
              <w:rPr>
                <w:rFonts w:hint="eastAsia" w:ascii="Times New Roman" w:hAnsi="Times New Roman"/>
                <w:szCs w:val="20"/>
                <w:highlight w:val="darkYellow"/>
                <w:lang w:eastAsia="ko-KR"/>
              </w:rPr>
              <w:t>(Working assumption)</w:t>
            </w:r>
            <w:r>
              <w:rPr>
                <w:rFonts w:ascii="Times New Roman" w:hAnsi="Times New Roman"/>
                <w:szCs w:val="20"/>
                <w:lang w:eastAsia="ko-KR"/>
              </w:rPr>
              <w:t xml:space="preserve"> </w:t>
            </w:r>
            <w:r>
              <w:rPr>
                <w:rFonts w:hint="eastAsia" w:ascii="Times New Roman" w:hAnsi="Times New Roman"/>
                <w:szCs w:val="20"/>
                <w:lang w:eastAsia="ko-KR"/>
              </w:rPr>
              <w:t>T=T_min</w:t>
            </w:r>
          </w:p>
          <w:p>
            <w:pPr>
              <w:numPr>
                <w:ilvl w:val="0"/>
                <w:numId w:val="9"/>
              </w:numPr>
              <w:contextualSpacing/>
              <w:jc w:val="both"/>
              <w:rPr>
                <w:rFonts w:hint="default"/>
                <w:vertAlign w:val="baseline"/>
                <w:lang w:val="en-US" w:eastAsia="zh-CN"/>
              </w:rPr>
            </w:pPr>
            <w:r>
              <w:rPr>
                <w:rFonts w:ascii="Times New Roman" w:hAnsi="Times New Roman"/>
                <w:szCs w:val="20"/>
                <w:lang w:eastAsia="ko-KR"/>
              </w:rPr>
              <w:t>Above applies at least for the case where SCell with on demand SSB transmission and cell with signalling transmission have the same numerology.</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During previous meetings, some companies raised some additional UE processing delay besides </w:t>
      </w:r>
      <w:r>
        <w:rPr>
          <w:rFonts w:hint="eastAsia"/>
          <w:lang w:val="en-US" w:eastAsia="ko-KR"/>
        </w:rPr>
        <w:fldChar w:fldCharType="begin"/>
      </w:r>
      <w:r>
        <w:rPr>
          <w:rFonts w:hint="eastAsia"/>
          <w:lang w:val="en-US" w:eastAsia="ko-KR"/>
        </w:rPr>
        <w:instrText xml:space="preserve"> QUOTE </w:instrText>
      </w:r>
      <w:r>
        <w:rPr>
          <w:rFonts w:hint="eastAsia"/>
          <w:lang w:val="en-US" w:eastAsia="zh-CN"/>
        </w:rPr>
        <w:pict>
          <v:shape id="_x0000_i1031" o:spt="75" type="#_x0000_t75" style="height:15pt;width:6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defaultTabStop w:val=&quot;799&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27A5&quot;/&gt;&lt;wsp:rsid wsp:val=&quot;000049DC&quot;/&gt;&lt;wsp:rsid wsp:val=&quot;00006115&quot;/&gt;&lt;wsp:rsid wsp:val=&quot;00006E91&quot;/&gt;&lt;wsp:rsid wsp:val=&quot;00013C50&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5694&quot;/&gt;&lt;wsp:rsid wsp:val=&quot;0002646D&quot;/&gt;&lt;wsp:rsid wsp:val=&quot;0002658D&quot;/&gt;&lt;wsp:rsid wsp:val=&quot;00027418&quot;/&gt;&lt;wsp:rsid wsp:val=&quot;00027793&quot;/&gt;&lt;wsp:rsid wsp:val=&quot;00030286&quot;/&gt;&lt;wsp:rsid wsp:val=&quot;000321DC&quot;/&gt;&lt;wsp:rsid wsp:val=&quot;00032D66&quot;/&gt;&lt;wsp:rsid wsp:val=&quot;00034896&quot;/&gt;&lt;wsp:rsid wsp:val=&quot;00034D4D&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1EEE&quot;/&gt;&lt;wsp:rsid wsp:val=&quot;00063AE7&quot;/&gt;&lt;wsp:rsid wsp:val=&quot;00064CDB&quot;/&gt;&lt;wsp:rsid wsp:val=&quot;000666C0&quot;/&gt;&lt;wsp:rsid wsp:val=&quot;00070E52&quot;/&gt;&lt;wsp:rsid wsp:val=&quot;00073A64&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0F2&quot;/&gt;&lt;wsp:rsid wsp:val=&quot;000969AF&quot;/&gt;&lt;wsp:rsid wsp:val=&quot;000A0641&quot;/&gt;&lt;wsp:rsid wsp:val=&quot;000A3922&quot;/&gt;&lt;wsp:rsid wsp:val=&quot;000A57B3&quot;/&gt;&lt;wsp:rsid wsp:val=&quot;000A5EF6&quot;/&gt;&lt;wsp:rsid wsp:val=&quot;000B0DA5&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229&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0F0529&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411F&quot;/&gt;&lt;wsp:rsid wsp:val=&quot;001452E3&quot;/&gt;&lt;wsp:rsid wsp:val=&quot;00145E2B&quot;/&gt;&lt;wsp:rsid wsp:val=&quot;0014603D&quot;/&gt;&lt;wsp:rsid wsp:val=&quot;00146D61&quot;/&gt;&lt;wsp:rsid wsp:val=&quot;001474C4&quot;/&gt;&lt;wsp:rsid wsp:val=&quot;00150C17&quot;/&gt;&lt;wsp:rsid wsp:val=&quot;0015249E&quot;/&gt;&lt;wsp:rsid wsp:val=&quot;00154717&quot;/&gt;&lt;wsp:rsid wsp:val=&quot;00155082&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0489&quot;/&gt;&lt;wsp:rsid wsp:val=&quot;001804F1&quot;/&gt;&lt;wsp:rsid wsp:val=&quot;001810BD&quot;/&gt;&lt;wsp:rsid wsp:val=&quot;00181906&quot;/&gt;&lt;wsp:rsid wsp:val=&quot;00182437&quot;/&gt;&lt;wsp:rsid wsp:val=&quot;00182D68&quot;/&gt;&lt;wsp:rsid wsp:val=&quot;00184862&quot;/&gt;&lt;wsp:rsid wsp:val=&quot;00184D3E&quot;/&gt;&lt;wsp:rsid wsp:val=&quot;00185777&quot;/&gt;&lt;wsp:rsid wsp:val=&quot;00185CFE&quot;/&gt;&lt;wsp:rsid wsp:val=&quot;00186520&quot;/&gt;&lt;wsp:rsid wsp:val=&quot;00191AC9&quot;/&gt;&lt;wsp:rsid wsp:val=&quot;001941E6&quot;/&gt;&lt;wsp:rsid wsp:val=&quot;0019426E&quot;/&gt;&lt;wsp:rsid wsp:val=&quot;00195BCA&quot;/&gt;&lt;wsp:rsid wsp:val=&quot;00197AA5&quot;/&gt;&lt;wsp:rsid wsp:val=&quot;001A0414&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79F&quot;/&gt;&lt;wsp:rsid wsp:val=&quot;001C3FFD&quot;/&gt;&lt;wsp:rsid wsp:val=&quot;001C40D9&quot;/&gt;&lt;wsp:rsid wsp:val=&quot;001C5621&quot;/&gt;&lt;wsp:rsid wsp:val=&quot;001C74BE&quot;/&gt;&lt;wsp:rsid wsp:val=&quot;001C7C35&quot;/&gt;&lt;wsp:rsid wsp:val=&quot;001D0216&quot;/&gt;&lt;wsp:rsid wsp:val=&quot;001D04E7&quot;/&gt;&lt;wsp:rsid wsp:val=&quot;001D150F&quot;/&gt;&lt;wsp:rsid wsp:val=&quot;001D41B7&quot;/&gt;&lt;wsp:rsid wsp:val=&quot;001D52A5&quot;/&gt;&lt;wsp:rsid wsp:val=&quot;001D5746&quot;/&gt;&lt;wsp:rsid wsp:val=&quot;001D6962&quot;/&gt;&lt;wsp:rsid wsp:val=&quot;001D6F38&quot;/&gt;&lt;wsp:rsid wsp:val=&quot;001D7AE8&quot;/&gt;&lt;wsp:rsid wsp:val=&quot;001D7CDA&quot;/&gt;&lt;wsp:rsid wsp:val=&quot;001E3299&quot;/&gt;&lt;wsp:rsid wsp:val=&quot;001E41BC&quot;/&gt;&lt;wsp:rsid wsp:val=&quot;001E4536&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1F3928&quot;/&gt;&lt;wsp:rsid wsp:val=&quot;002004B2&quot;/&gt;&lt;wsp:rsid wsp:val=&quot;00202C71&quot;/&gt;&lt;wsp:rsid wsp:val=&quot;0020564C&quot;/&gt;&lt;wsp:rsid wsp:val=&quot;00206F84&quot;/&gt;&lt;wsp:rsid wsp:val=&quot;00210B7B&quot;/&gt;&lt;wsp:rsid wsp:val=&quot;00211448&quot;/&gt;&lt;wsp:rsid wsp:val=&quot;0021214B&quot;/&gt;&lt;wsp:rsid wsp:val=&quot;00213E6A&quot;/&gt;&lt;wsp:rsid wsp:val=&quot;00214F2A&quot;/&gt;&lt;wsp:rsid wsp:val=&quot;00216804&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0826&quot;/&gt;&lt;wsp:rsid wsp:val=&quot;0025116B&quot;/&gt;&lt;wsp:rsid wsp:val=&quot;00251A50&quot;/&gt;&lt;wsp:rsid wsp:val=&quot;002526D0&quot;/&gt;&lt;wsp:rsid wsp:val=&quot;0025466B&quot;/&gt;&lt;wsp:rsid wsp:val=&quot;00254FA9&quot;/&gt;&lt;wsp:rsid wsp:val=&quot;002556B6&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D9B&quot;/&gt;&lt;wsp:rsid wsp:val=&quot;00282E2C&quot;/&gt;&lt;wsp:rsid wsp:val=&quot;00282FD2&quot;/&gt;&lt;wsp:rsid wsp:val=&quot;00284207&quot;/&gt;&lt;wsp:rsid wsp:val=&quot;00285E3A&quot;/&gt;&lt;wsp:rsid wsp:val=&quot;00286532&quot;/&gt;&lt;wsp:rsid wsp:val=&quot;002912A8&quot;/&gt;&lt;wsp:rsid wsp:val=&quot;00293C36&quot;/&gt;&lt;wsp:rsid wsp:val=&quot;00293DB3&quot;/&gt;&lt;wsp:rsid wsp:val=&quot;0029433B&quot;/&gt;&lt;wsp:rsid wsp:val=&quot;00294EFB&quot;/&gt;&lt;wsp:rsid wsp:val=&quot;0029757E&quot;/&gt;&lt;wsp:rsid wsp:val=&quot;00297DD6&quot;/&gt;&lt;wsp:rsid wsp:val=&quot;00297DED&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6FA4&quot;/&gt;&lt;wsp:rsid wsp:val=&quot;002C7702&quot;/&gt;&lt;wsp:rsid wsp:val=&quot;002D0410&quot;/&gt;&lt;wsp:rsid wsp:val=&quot;002D1A27&quot;/&gt;&lt;wsp:rsid wsp:val=&quot;002D2CF7&quot;/&gt;&lt;wsp:rsid wsp:val=&quot;002D4D40&quot;/&gt;&lt;wsp:rsid wsp:val=&quot;002D5218&quot;/&gt;&lt;wsp:rsid wsp:val=&quot;002D6E7D&quot;/&gt;&lt;wsp:rsid wsp:val=&quot;002E1DF6&quot;/&gt;&lt;wsp:rsid wsp:val=&quot;002E687D&quot;/&gt;&lt;wsp:rsid wsp:val=&quot;002E74B5&quot;/&gt;&lt;wsp:rsid wsp:val=&quot;002F0759&quot;/&gt;&lt;wsp:rsid wsp:val=&quot;002F10CA&quot;/&gt;&lt;wsp:rsid wsp:val=&quot;002F1E2B&quot;/&gt;&lt;wsp:rsid wsp:val=&quot;002F2880&quot;/&gt;&lt;wsp:rsid wsp:val=&quot;002F4411&quot;/&gt;&lt;wsp:rsid wsp:val=&quot;002F5259&quot;/&gt;&lt;wsp:rsid wsp:val=&quot;002F57D7&quot;/&gt;&lt;wsp:rsid wsp:val=&quot;002F64B1&quot;/&gt;&lt;wsp:rsid wsp:val=&quot;002F7271&quot;/&gt;&lt;wsp:rsid wsp:val=&quot;002F739A&quot;/&gt;&lt;wsp:rsid wsp:val=&quot;00302398&quot;/&gt;&lt;wsp:rsid wsp:val=&quot;00304116&quot;/&gt;&lt;wsp:rsid wsp:val=&quot;003043B3&quot;/&gt;&lt;wsp:rsid wsp:val=&quot;0030490C&quot;/&gt;&lt;wsp:rsid wsp:val=&quot;0030546D&quot;/&gt;&lt;wsp:rsid wsp:val=&quot;0031112E&quot;/&gt;&lt;wsp:rsid wsp:val=&quot;00312317&quot;/&gt;&lt;wsp:rsid wsp:val=&quot;00313594&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2362&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434D&quot;/&gt;&lt;wsp:rsid wsp:val=&quot;00374380&quot;/&gt;&lt;wsp:rsid wsp:val=&quot;00374F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3028&quot;/&gt;&lt;wsp:rsid wsp:val=&quot;00394116&quot;/&gt;&lt;wsp:rsid wsp:val=&quot;00394AC8&quot;/&gt;&lt;wsp:rsid wsp:val=&quot;003957ED&quot;/&gt;&lt;wsp:rsid wsp:val=&quot;00397A6D&quot;/&gt;&lt;wsp:rsid wsp:val=&quot;003A135F&quot;/&gt;&lt;wsp:rsid wsp:val=&quot;003A4382&quot;/&gt;&lt;wsp:rsid wsp:val=&quot;003A4607&quot;/&gt;&lt;wsp:rsid wsp:val=&quot;003A72FB&quot;/&gt;&lt;wsp:rsid wsp:val=&quot;003A7CEB&quot;/&gt;&lt;wsp:rsid wsp:val=&quot;003B0BF8&quot;/&gt;&lt;wsp:rsid wsp:val=&quot;003B2B12&quot;/&gt;&lt;wsp:rsid wsp:val=&quot;003B30EF&quot;/&gt;&lt;wsp:rsid wsp:val=&quot;003B3DC0&quot;/&gt;&lt;wsp:rsid wsp:val=&quot;003B6548&quot;/&gt;&lt;wsp:rsid wsp:val=&quot;003B7BF9&quot;/&gt;&lt;wsp:rsid wsp:val=&quot;003C04F9&quot;/&gt;&lt;wsp:rsid wsp:val=&quot;003C1E97&quot;/&gt;&lt;wsp:rsid wsp:val=&quot;003C3033&quot;/&gt;&lt;wsp:rsid wsp:val=&quot;003C4584&quot;/&gt;&lt;wsp:rsid wsp:val=&quot;003C4EAC&quot;/&gt;&lt;wsp:rsid wsp:val=&quot;003C5C06&quot;/&gt;&lt;wsp:rsid wsp:val=&quot;003C6728&quot;/&gt;&lt;wsp:rsid wsp:val=&quot;003D194E&quot;/&gt;&lt;wsp:rsid wsp:val=&quot;003D33A8&quot;/&gt;&lt;wsp:rsid wsp:val=&quot;003D43C9&quot;/&gt;&lt;wsp:rsid wsp:val=&quot;003D4D92&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33B7&quot;/&gt;&lt;wsp:rsid wsp:val=&quot;003F39F6&quot;/&gt;&lt;wsp:rsid wsp:val=&quot;003F4797&quot;/&gt;&lt;wsp:rsid wsp:val=&quot;003F47B5&quot;/&gt;&lt;wsp:rsid wsp:val=&quot;003F7A24&quot;/&gt;&lt;wsp:rsid wsp:val=&quot;004003E8&quot;/&gt;&lt;wsp:rsid wsp:val=&quot;004019CB&quot;/&gt;&lt;wsp:rsid wsp:val=&quot;0040222B&quot;/&gt;&lt;wsp:rsid wsp:val=&quot;004022CC&quot;/&gt;&lt;wsp:rsid wsp:val=&quot;00402831&quot;/&gt;&lt;wsp:rsid wsp:val=&quot;00403018&quot;/&gt;&lt;wsp:rsid wsp:val=&quot;004032F1&quot;/&gt;&lt;wsp:rsid wsp:val=&quot;004035F6&quot;/&gt;&lt;wsp:rsid wsp:val=&quot;00403EDF&quot;/&gt;&lt;wsp:rsid wsp:val=&quot;00404DB1&quot;/&gt;&lt;wsp:rsid wsp:val=&quot;004109C3&quot;/&gt;&lt;wsp:rsid wsp:val=&quot;00412147&quot;/&gt;&lt;wsp:rsid wsp:val=&quot;00413C55&quot;/&gt;&lt;wsp:rsid wsp:val=&quot;00414181&quot;/&gt;&lt;wsp:rsid wsp:val=&quot;004159B2&quot;/&gt;&lt;wsp:rsid wsp:val=&quot;0041624E&quot;/&gt;&lt;wsp:rsid wsp:val=&quot;0041782C&quot;/&gt;&lt;wsp:rsid wsp:val=&quot;004200D8&quot;/&gt;&lt;wsp:rsid wsp:val=&quot;004206FA&quot;/&gt;&lt;wsp:rsid wsp:val=&quot;004213CE&quot;/&gt;&lt;wsp:rsid wsp:val=&quot;004223F1&quot;/&gt;&lt;wsp:rsid wsp:val=&quot;00424AFD&quot;/&gt;&lt;wsp:rsid wsp:val=&quot;00424C9C&quot;/&gt;&lt;wsp:rsid wsp:val=&quot;00430171&quot;/&gt;&lt;wsp:rsid wsp:val=&quot;00431123&quot;/&gt;&lt;wsp:rsid wsp:val=&quot;00431C26&quot;/&gt;&lt;wsp:rsid wsp:val=&quot;00431E83&quot;/&gt;&lt;wsp:rsid wsp:val=&quot;004329DE&quot;/&gt;&lt;wsp:rsid wsp:val=&quot;00432F62&quot;/&gt;&lt;wsp:rsid wsp:val=&quot;004345FD&quot;/&gt;&lt;wsp:rsid wsp:val=&quot;0043707E&quot;/&gt;&lt;wsp:rsid wsp:val=&quot;00437B5E&quot;/&gt;&lt;wsp:rsid wsp:val=&quot;0044004B&quot;/&gt;&lt;wsp:rsid wsp:val=&quot;0044021C&quot;/&gt;&lt;wsp:rsid wsp:val=&quot;00441B41&quot;/&gt;&lt;wsp:rsid wsp:val=&quot;00444E6F&quot;/&gt;&lt;wsp:rsid wsp:val=&quot;00444EC1&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895&quot;/&gt;&lt;wsp:rsid wsp:val=&quot;00471F19&quot;/&gt;&lt;wsp:rsid wsp:val=&quot;00473384&quot;/&gt;&lt;wsp:rsid wsp:val=&quot;00474298&quot;/&gt;&lt;wsp:rsid wsp:val=&quot;00474C18&quot;/&gt;&lt;wsp:rsid wsp:val=&quot;0048214B&quot;/&gt;&lt;wsp:rsid wsp:val=&quot;004826E7&quot;/&gt;&lt;wsp:rsid wsp:val=&quot;00485CEE&quot;/&gt;&lt;wsp:rsid wsp:val=&quot;004874D3&quot;/&gt;&lt;wsp:rsid wsp:val=&quot;004878E4&quot;/&gt;&lt;wsp:rsid wsp:val=&quot;0049013E&quot;/&gt;&lt;wsp:rsid wsp:val=&quot;004902E0&quot;/&gt;&lt;wsp:rsid wsp:val=&quot;00490947&quot;/&gt;&lt;wsp:rsid wsp:val=&quot;00490B8F&quot;/&gt;&lt;wsp:rsid wsp:val=&quot;004910AC&quot;/&gt;&lt;wsp:rsid wsp:val=&quot;00492B8D&quot;/&gt;&lt;wsp:rsid wsp:val=&quot;004945F3&quot;/&gt;&lt;wsp:rsid wsp:val=&quot;00494C99&quot;/&gt;&lt;wsp:rsid wsp:val=&quot;004952EA&quot;/&gt;&lt;wsp:rsid wsp:val=&quot;004A1B0B&quot;/&gt;&lt;wsp:rsid wsp:val=&quot;004A29F5&quot;/&gt;&lt;wsp:rsid wsp:val=&quot;004A2F9D&quot;/&gt;&lt;wsp:rsid wsp:val=&quot;004A4203&quot;/&gt;&lt;wsp:rsid wsp:val=&quot;004A4333&quot;/&gt;&lt;wsp:rsid wsp:val=&quot;004A5270&quot;/&gt;&lt;wsp:rsid wsp:val=&quot;004A6725&quot;/&gt;&lt;wsp:rsid wsp:val=&quot;004A6728&quot;/&gt;&lt;wsp:rsid wsp:val=&quot;004B0FC0&quot;/&gt;&lt;wsp:rsid wsp:val=&quot;004B1BEE&quot;/&gt;&lt;wsp:rsid wsp:val=&quot;004B2359&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2546&quot;/&gt;&lt;wsp:rsid wsp:val=&quot;004D2F5B&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E685E&quot;/&gt;&lt;wsp:rsid wsp:val=&quot;004F21E5&quot;/&gt;&lt;wsp:rsid wsp:val=&quot;004F2E30&quot;/&gt;&lt;wsp:rsid wsp:val=&quot;004F344E&quot;/&gt;&lt;wsp:rsid wsp:val=&quot;004F428C&quot;/&gt;&lt;wsp:rsid wsp:val=&quot;004F6828&quot;/&gt;&lt;wsp:rsid wsp:val=&quot;004F6879&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29FE&quot;/&gt;&lt;wsp:rsid wsp:val=&quot;00514701&quot;/&gt;&lt;wsp:rsid wsp:val=&quot;00514C06&quot;/&gt;&lt;wsp:rsid wsp:val=&quot;00515ADF&quot;/&gt;&lt;wsp:rsid wsp:val=&quot;00516B1D&quot;/&gt;&lt;wsp:rsid wsp:val=&quot;0052072B&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C4E&quot;/&gt;&lt;wsp:rsid wsp:val=&quot;00543EA0&quot;/&gt;&lt;wsp:rsid wsp:val=&quot;0054487A&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0B4F&quot;/&gt;&lt;wsp:rsid wsp:val=&quot;005634EC&quot;/&gt;&lt;wsp:rsid wsp:val=&quot;00563BDE&quot;/&gt;&lt;wsp:rsid wsp:val=&quot;005645C5&quot;/&gt;&lt;wsp:rsid wsp:val=&quot;0056693D&quot;/&gt;&lt;wsp:rsid wsp:val=&quot;0057032E&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465F&quot;/&gt;&lt;wsp:rsid wsp:val=&quot;005765F4&quot;/&gt;&lt;wsp:rsid wsp:val=&quot;005771D3&quot;/&gt;&lt;wsp:rsid wsp:val=&quot;0057754D&quot;/&gt;&lt;wsp:rsid wsp:val=&quot;00582CFF&quot;/&gt;&lt;wsp:rsid wsp:val=&quot;005849FF&quot;/&gt;&lt;wsp:rsid wsp:val=&quot;00585903&quot;/&gt;&lt;wsp:rsid wsp:val=&quot;00585CC3&quot;/&gt;&lt;wsp:rsid wsp:val=&quot;00587189&quot;/&gt;&lt;wsp:rsid wsp:val=&quot;00587DE1&quot;/&gt;&lt;wsp:rsid wsp:val=&quot;0059060C&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4B91&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07A65&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178C1&quot;/&gt;&lt;wsp:rsid wsp:val=&quot;00620ECF&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819&quot;/&gt;&lt;wsp:rsid wsp:val=&quot;006429EB&quot;/&gt;&lt;wsp:rsid wsp:val=&quot;006432CC&quot;/&gt;&lt;wsp:rsid wsp:val=&quot;006438C1&quot;/&gt;&lt;wsp:rsid wsp:val=&quot;00644560&quot;/&gt;&lt;wsp:rsid wsp:val=&quot;00645134&quot;/&gt;&lt;wsp:rsid wsp:val=&quot;00645247&quot;/&gt;&lt;wsp:rsid wsp:val=&quot;00645CFD&quot;/&gt;&lt;wsp:rsid wsp:val=&quot;00645E6A&quot;/&gt;&lt;wsp:rsid wsp:val=&quot;0065074B&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5342&quot;/&gt;&lt;wsp:rsid wsp:val=&quot;0067658D&quot;/&gt;&lt;wsp:rsid wsp:val=&quot;00677CF1&quot;/&gt;&lt;wsp:rsid wsp:val=&quot;00677E9F&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96847&quot;/&gt;&lt;wsp:rsid wsp:val=&quot;006A255C&quot;/&gt;&lt;wsp:rsid wsp:val=&quot;006A2899&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16AE&quot;/&gt;&lt;wsp:rsid wsp:val=&quot;006C274B&quot;/&gt;&lt;wsp:rsid wsp:val=&quot;006C3F49&quot;/&gt;&lt;wsp:rsid wsp:val=&quot;006C50EE&quot;/&gt;&lt;wsp:rsid wsp:val=&quot;006C6AE2&quot;/&gt;&lt;wsp:rsid wsp:val=&quot;006C7A4B&quot;/&gt;&lt;wsp:rsid wsp:val=&quot;006D130D&quot;/&gt;&lt;wsp:rsid wsp:val=&quot;006D20DA&quot;/&gt;&lt;wsp:rsid wsp:val=&quot;006D3165&quot;/&gt;&lt;wsp:rsid wsp:val=&quot;006D7A0E&quot;/&gt;&lt;wsp:rsid wsp:val=&quot;006E1596&quot;/&gt;&lt;wsp:rsid wsp:val=&quot;006E1FF3&quot;/&gt;&lt;wsp:rsid wsp:val=&quot;006E29B9&quot;/&gt;&lt;wsp:rsid wsp:val=&quot;006E407E&quot;/&gt;&lt;wsp:rsid wsp:val=&quot;006E5673&quot;/&gt;&lt;wsp:rsid wsp:val=&quot;006E66DD&quot;/&gt;&lt;wsp:rsid wsp:val=&quot;006F0FB8&quot;/&gt;&lt;wsp:rsid wsp:val=&quot;006F135C&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15F0C&quot;/&gt;&lt;wsp:rsid wsp:val=&quot;007203C8&quot;/&gt;&lt;wsp:rsid wsp:val=&quot;00720496&quot;/&gt;&lt;wsp:rsid wsp:val=&quot;00721545&quot;/&gt;&lt;wsp:rsid wsp:val=&quot;0072164E&quot;/&gt;&lt;wsp:rsid wsp:val=&quot;00721704&quot;/&gt;&lt;wsp:rsid wsp:val=&quot;00722A0A&quot;/&gt;&lt;wsp:rsid wsp:val=&quot;00722C89&quot;/&gt;&lt;wsp:rsid wsp:val=&quot;0072399E&quot;/&gt;&lt;wsp:rsid wsp:val=&quot;00724973&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1069&quot;/&gt;&lt;wsp:rsid wsp:val=&quot;007560EA&quot;/&gt;&lt;wsp:rsid wsp:val=&quot;00756874&quot;/&gt;&lt;wsp:rsid wsp:val=&quot;00757025&quot;/&gt;&lt;wsp:rsid wsp:val=&quot;0075736E&quot;/&gt;&lt;wsp:rsid wsp:val=&quot;00760E00&quot;/&gt;&lt;wsp:rsid wsp:val=&quot;00761570&quot;/&gt;&lt;wsp:rsid wsp:val=&quot;00762BCE&quot;/&gt;&lt;wsp:rsid wsp:val=&quot;00763C91&quot;/&gt;&lt;wsp:rsid wsp:val=&quot;00764B12&quot;/&gt;&lt;wsp:rsid wsp:val=&quot;0076799C&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371E&quot;/&gt;&lt;wsp:rsid wsp:val=&quot;00784592&quot;/&gt;&lt;wsp:rsid wsp:val=&quot;00784890&quot;/&gt;&lt;wsp:rsid wsp:val=&quot;00784BF2&quot;/&gt;&lt;wsp:rsid wsp:val=&quot;00785E7F&quot;/&gt;&lt;wsp:rsid wsp:val=&quot;007860DD&quot;/&gt;&lt;wsp:rsid wsp:val=&quot;0078634F&quot;/&gt;&lt;wsp:rsid wsp:val=&quot;007864FE&quot;/&gt;&lt;wsp:rsid wsp:val=&quot;00787317&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4543&quot;/&gt;&lt;wsp:rsid wsp:val=&quot;007D6E7F&quot;/&gt;&lt;wsp:rsid wsp:val=&quot;007E116C&quot;/&gt;&lt;wsp:rsid wsp:val=&quot;007E3014&quot;/&gt;&lt;wsp:rsid wsp:val=&quot;007E4353&quot;/&gt;&lt;wsp:rsid wsp:val=&quot;007E53F6&quot;/&gt;&lt;wsp:rsid wsp:val=&quot;007E5906&quot;/&gt;&lt;wsp:rsid wsp:val=&quot;007E5EE9&quot;/&gt;&lt;wsp:rsid wsp:val=&quot;007E7061&quot;/&gt;&lt;wsp:rsid wsp:val=&quot;007E79BE&quot;/&gt;&lt;wsp:rsid wsp:val=&quot;007E7FCB&quot;/&gt;&lt;wsp:rsid wsp:val=&quot;007F21CD&quot;/&gt;&lt;wsp:rsid wsp:val=&quot;007F2445&quot;/&gt;&lt;wsp:rsid wsp:val=&quot;007F316D&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1446D&quot;/&gt;&lt;wsp:rsid wsp:val=&quot;00814699&quot;/&gt;&lt;wsp:rsid wsp:val=&quot;00817743&quot;/&gt;&lt;wsp:rsid wsp:val=&quot;00821556&quot;/&gt;&lt;wsp:rsid wsp:val=&quot;00821F2C&quot;/&gt;&lt;wsp:rsid wsp:val=&quot;008220C7&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1E28&quot;/&gt;&lt;wsp:rsid wsp:val=&quot;00842BFB&quot;/&gt;&lt;wsp:rsid wsp:val=&quot;00847786&quot;/&gt;&lt;wsp:rsid wsp:val=&quot;0085048F&quot;/&gt;&lt;wsp:rsid wsp:val=&quot;00853901&quot;/&gt;&lt;wsp:rsid wsp:val=&quot;00853E28&quot;/&gt;&lt;wsp:rsid wsp:val=&quot;008543CB&quot;/&gt;&lt;wsp:rsid wsp:val=&quot;00854556&quot;/&gt;&lt;wsp:rsid wsp:val=&quot;00854AFF&quot;/&gt;&lt;wsp:rsid wsp:val=&quot;00855E7E&quot;/&gt;&lt;wsp:rsid wsp:val=&quot;0085677D&quot;/&gt;&lt;wsp:rsid wsp:val=&quot;008609BD&quot;/&gt;&lt;wsp:rsid wsp:val=&quot;0086247A&quot;/&gt;&lt;wsp:rsid wsp:val=&quot;008626F6&quot;/&gt;&lt;wsp:rsid wsp:val=&quot;00864E0E&quot;/&gt;&lt;wsp:rsid wsp:val=&quot;008677F8&quot;/&gt;&lt;wsp:rsid wsp:val=&quot;00867EC2&quot;/&gt;&lt;wsp:rsid wsp:val=&quot;00870E43&quot;/&gt;&lt;wsp:rsid wsp:val=&quot;008723F6&quot;/&gt;&lt;wsp:rsid wsp:val=&quot;0087282C&quot;/&gt;&lt;wsp:rsid wsp:val=&quot;00872B47&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1B8E&quot;/&gt;&lt;wsp:rsid wsp:val=&quot;00882022&quot;/&gt;&lt;wsp:rsid wsp:val=&quot;008844F1&quot;/&gt;&lt;wsp:rsid wsp:val=&quot;00884ADD&quot;/&gt;&lt;wsp:rsid wsp:val=&quot;0088611D&quot;/&gt;&lt;wsp:rsid wsp:val=&quot;00886256&quot;/&gt;&lt;wsp:rsid wsp:val=&quot;00890A01&quot;/&gt;&lt;wsp:rsid wsp:val=&quot;00891CC4&quot;/&gt;&lt;wsp:rsid wsp:val=&quot;00896910&quot;/&gt;&lt;wsp:rsid wsp:val=&quot;00896BCB&quot;/&gt;&lt;wsp:rsid wsp:val=&quot;0089715E&quot;/&gt;&lt;wsp:rsid wsp:val=&quot;00897954&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362C&quot;/&gt;&lt;wsp:rsid wsp:val=&quot;00904C0E&quot;/&gt;&lt;wsp:rsid wsp:val=&quot;0090517A&quot;/&gt;&lt;wsp:rsid wsp:val=&quot;0090650B&quot;/&gt;&lt;wsp:rsid wsp:val=&quot;009075A4&quot;/&gt;&lt;wsp:rsid wsp:val=&quot;00907C38&quot;/&gt;&lt;wsp:rsid wsp:val=&quot;00910330&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5F67&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5&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0BA&quot;/&gt;&lt;wsp:rsid wsp:val=&quot;00952BD8&quot;/&gt;&lt;wsp:rsid wsp:val=&quot;00953883&quot;/&gt;&lt;wsp:rsid wsp:val=&quot;00953FB6&quot;/&gt;&lt;wsp:rsid wsp:val=&quot;00954DFA&quot;/&gt;&lt;wsp:rsid wsp:val=&quot;00954ED7&quot;/&gt;&lt;wsp:rsid wsp:val=&quot;009559A2&quot;/&gt;&lt;wsp:rsid wsp:val=&quot;009571B9&quot;/&gt;&lt;wsp:rsid wsp:val=&quot;00957FBE&quot;/&gt;&lt;wsp:rsid wsp:val=&quot;00960060&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1E03&quot;/&gt;&lt;wsp:rsid wsp:val=&quot;00973F28&quot;/&gt;&lt;wsp:rsid wsp:val=&quot;00973FA2&quot;/&gt;&lt;wsp:rsid wsp:val=&quot;00974866&quot;/&gt;&lt;wsp:rsid wsp:val=&quot;009762CD&quot;/&gt;&lt;wsp:rsid wsp:val=&quot;00980491&quot;/&gt;&lt;wsp:rsid wsp:val=&quot;009808F5&quot;/&gt;&lt;wsp:rsid wsp:val=&quot;00981D9F&quot;/&gt;&lt;wsp:rsid wsp:val=&quot;00982DA0&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1F5E&quot;/&gt;&lt;wsp:rsid wsp:val=&quot;009D25E3&quot;/&gt;&lt;wsp:rsid wsp:val=&quot;009D49BC&quot;/&gt;&lt;wsp:rsid wsp:val=&quot;009D6963&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1151&quot;/&gt;&lt;wsp:rsid wsp:val=&quot;009F46E3&quot;/&gt;&lt;wsp:rsid wsp:val=&quot;009F4830&quot;/&gt;&lt;wsp:rsid wsp:val=&quot;009F69FB&quot;/&gt;&lt;wsp:rsid wsp:val=&quot;00A0110D&quot;/&gt;&lt;wsp:rsid wsp:val=&quot;00A04FA4&quot;/&gt;&lt;wsp:rsid wsp:val=&quot;00A07D2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2CC3&quot;/&gt;&lt;wsp:rsid wsp:val=&quot;00A63863&quot;/&gt;&lt;wsp:rsid wsp:val=&quot;00A64301&quot;/&gt;&lt;wsp:rsid wsp:val=&quot;00A667FD&quot;/&gt;&lt;wsp:rsid wsp:val=&quot;00A71167&quot;/&gt;&lt;wsp:rsid wsp:val=&quot;00A71D04&quot;/&gt;&lt;wsp:rsid wsp:val=&quot;00A72D98&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1ED3&quot;/&gt;&lt;wsp:rsid wsp:val=&quot;00A924D1&quot;/&gt;&lt;wsp:rsid wsp:val=&quot;00A95126&quot;/&gt;&lt;wsp:rsid wsp:val=&quot;00A9661B&quot;/&gt;&lt;wsp:rsid wsp:val=&quot;00AA09D7&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6A75&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1FD&quot;/&gt;&lt;wsp:rsid wsp:val=&quot;00B027F4&quot;/&gt;&lt;wsp:rsid wsp:val=&quot;00B02CFA&quot;/&gt;&lt;wsp:rsid wsp:val=&quot;00B04276&quot;/&gt;&lt;wsp:rsid wsp:val=&quot;00B042C3&quot;/&gt;&lt;wsp:rsid wsp:val=&quot;00B047FB&quot;/&gt;&lt;wsp:rsid wsp:val=&quot;00B057B7&quot;/&gt;&lt;wsp:rsid wsp:val=&quot;00B13627&quot;/&gt;&lt;wsp:rsid wsp:val=&quot;00B13801&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36AC4&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2BC&quot;/&gt;&lt;wsp:rsid wsp:val=&quot;00B51372&quot;/&gt;&lt;wsp:rsid wsp:val=&quot;00B51987&quot;/&gt;&lt;wsp:rsid wsp:val=&quot;00B519BD&quot;/&gt;&lt;wsp:rsid wsp:val=&quot;00B52708&quot;/&gt;&lt;wsp:rsid wsp:val=&quot;00B529BC&quot;/&gt;&lt;wsp:rsid wsp:val=&quot;00B52B32&quot;/&gt;&lt;wsp:rsid wsp:val=&quot;00B54F4D&quot;/&gt;&lt;wsp:rsid wsp:val=&quot;00B55528&quot;/&gt;&lt;wsp:rsid wsp:val=&quot;00B55621&quot;/&gt;&lt;wsp:rsid wsp:val=&quot;00B55DB1&quot;/&gt;&lt;wsp:rsid wsp:val=&quot;00B56F1C&quot;/&gt;&lt;wsp:rsid wsp:val=&quot;00B601DC&quot;/&gt;&lt;wsp:rsid wsp:val=&quot;00B616D7&quot;/&gt;&lt;wsp:rsid wsp:val=&quot;00B631FD&quot;/&gt;&lt;wsp:rsid wsp:val=&quot;00B63624&quot;/&gt;&lt;wsp:rsid wsp:val=&quot;00B639F2&quot;/&gt;&lt;wsp:rsid wsp:val=&quot;00B640E8&quot;/&gt;&lt;wsp:rsid wsp:val=&quot;00B65473&quot;/&gt;&lt;wsp:rsid wsp:val=&quot;00B66FDF&quot;/&gt;&lt;wsp:rsid wsp:val=&quot;00B70F7C&quot;/&gt;&lt;wsp:rsid wsp:val=&quot;00B7219D&quot;/&gt;&lt;wsp:rsid wsp:val=&quot;00B727C9&quot;/&gt;&lt;wsp:rsid wsp:val=&quot;00B74008&quot;/&gt;&lt;wsp:rsid wsp:val=&quot;00B747D3&quot;/&gt;&lt;wsp:rsid wsp:val=&quot;00B75DE1&quot;/&gt;&lt;wsp:rsid wsp:val=&quot;00B80F17&quot;/&gt;&lt;wsp:rsid wsp:val=&quot;00B86333&quot;/&gt;&lt;wsp:rsid wsp:val=&quot;00B906C7&quot;/&gt;&lt;wsp:rsid wsp:val=&quot;00B94A19&quot;/&gt;&lt;wsp:rsid wsp:val=&quot;00B964BE&quot;/&gt;&lt;wsp:rsid wsp:val=&quot;00B976A8&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41E0&quot;/&gt;&lt;wsp:rsid wsp:val=&quot;00BB52CF&quot;/&gt;&lt;wsp:rsid wsp:val=&quot;00BB5369&quot;/&gt;&lt;wsp:rsid wsp:val=&quot;00BB56DE&quot;/&gt;&lt;wsp:rsid wsp:val=&quot;00BC0B79&quot;/&gt;&lt;wsp:rsid wsp:val=&quot;00BC0C1F&quot;/&gt;&lt;wsp:rsid wsp:val=&quot;00BC2941&quot;/&gt;&lt;wsp:rsid wsp:val=&quot;00BC29C2&quot;/&gt;&lt;wsp:rsid wsp:val=&quot;00BC370E&quot;/&gt;&lt;wsp:rsid wsp:val=&quot;00BC3D43&quot;/&gt;&lt;wsp:rsid wsp:val=&quot;00BC7386&quot;/&gt;&lt;wsp:rsid wsp:val=&quot;00BC75B5&quot;/&gt;&lt;wsp:rsid wsp:val=&quot;00BD10D2&quot;/&gt;&lt;wsp:rsid wsp:val=&quot;00BD114B&quot;/&gt;&lt;wsp:rsid wsp:val=&quot;00BD4762&quot;/&gt;&lt;wsp:rsid wsp:val=&quot;00BD491D&quot;/&gt;&lt;wsp:rsid wsp:val=&quot;00BD4FA9&quot;/&gt;&lt;wsp:rsid wsp:val=&quot;00BD5E6D&quot;/&gt;&lt;wsp:rsid wsp:val=&quot;00BD604C&quot;/&gt;&lt;wsp:rsid wsp:val=&quot;00BE3B07&quot;/&gt;&lt;wsp:rsid wsp:val=&quot;00BE6024&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02E&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2F22&quot;/&gt;&lt;wsp:rsid wsp:val=&quot;00C26E62&quot;/&gt;&lt;wsp:rsid wsp:val=&quot;00C2739B&quot;/&gt;&lt;wsp:rsid wsp:val=&quot;00C30853&quot;/&gt;&lt;wsp:rsid wsp:val=&quot;00C31265&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8D3&quot;/&gt;&lt;wsp:rsid wsp:val=&quot;00C55F50&quot;/&gt;&lt;wsp:rsid wsp:val=&quot;00C569AB&quot;/&gt;&lt;wsp:rsid wsp:val=&quot;00C569CC&quot;/&gt;&lt;wsp:rsid wsp:val=&quot;00C57ACC&quot;/&gt;&lt;wsp:rsid wsp:val=&quot;00C62130&quot;/&gt;&lt;wsp:rsid wsp:val=&quot;00C6529A&quot;/&gt;&lt;wsp:rsid wsp:val=&quot;00C70079&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16CA&quot;/&gt;&lt;wsp:rsid wsp:val=&quot;00C84ACC&quot;/&gt;&lt;wsp:rsid wsp:val=&quot;00C84B47&quot;/&gt;&lt;wsp:rsid wsp:val=&quot;00C85321&quot;/&gt;&lt;wsp:rsid wsp:val=&quot;00C86B16&quot;/&gt;&lt;wsp:rsid wsp:val=&quot;00C878E9&quot;/&gt;&lt;wsp:rsid wsp:val=&quot;00C91D1C&quot;/&gt;&lt;wsp:rsid wsp:val=&quot;00C941C9&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D7CC4&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8B1&quot;/&gt;&lt;wsp:rsid wsp:val=&quot;00D16974&quot;/&gt;&lt;wsp:rsid wsp:val=&quot;00D20BAF&quot;/&gt;&lt;wsp:rsid wsp:val=&quot;00D20F88&quot;/&gt;&lt;wsp:rsid wsp:val=&quot;00D21238&quot;/&gt;&lt;wsp:rsid wsp:val=&quot;00D21BF2&quot;/&gt;&lt;wsp:rsid wsp:val=&quot;00D24512&quot;/&gt;&lt;wsp:rsid wsp:val=&quot;00D25D15&quot;/&gt;&lt;wsp:rsid wsp:val=&quot;00D26D98&quot;/&gt;&lt;wsp:rsid wsp:val=&quot;00D3374A&quot;/&gt;&lt;wsp:rsid wsp:val=&quot;00D34E06&quot;/&gt;&lt;wsp:rsid wsp:val=&quot;00D3600E&quot;/&gt;&lt;wsp:rsid wsp:val=&quot;00D4033B&quot;/&gt;&lt;wsp:rsid wsp:val=&quot;00D40A92&quot;/&gt;&lt;wsp:rsid wsp:val=&quot;00D4230C&quot;/&gt;&lt;wsp:rsid wsp:val=&quot;00D4263C&quot;/&gt;&lt;wsp:rsid wsp:val=&quot;00D43594&quot;/&gt;&lt;wsp:rsid wsp:val=&quot;00D43CBF&quot;/&gt;&lt;wsp:rsid wsp:val=&quot;00D44D53&quot;/&gt;&lt;wsp:rsid wsp:val=&quot;00D464A2&quot;/&gt;&lt;wsp:rsid wsp:val=&quot;00D506D0&quot;/&gt;&lt;wsp:rsid wsp:val=&quot;00D50E15&quot;/&gt;&lt;wsp:rsid wsp:val=&quot;00D51795&quot;/&gt;&lt;wsp:rsid wsp:val=&quot;00D52A83&quot;/&gt;&lt;wsp:rsid wsp:val=&quot;00D5616D&quot;/&gt;&lt;wsp:rsid wsp:val=&quot;00D5711F&quot;/&gt;&lt;wsp:rsid wsp:val=&quot;00D6167F&quot;/&gt;&lt;wsp:rsid wsp:val=&quot;00D616F1&quot;/&gt;&lt;wsp:rsid wsp:val=&quot;00D63474&quot;/&gt;&lt;wsp:rsid wsp:val=&quot;00D63714&quot;/&gt;&lt;wsp:rsid wsp:val=&quot;00D6383D&quot;/&gt;&lt;wsp:rsid wsp:val=&quot;00D63AFC&quot;/&gt;&lt;wsp:rsid wsp:val=&quot;00D64B68&quot;/&gt;&lt;wsp:rsid wsp:val=&quot;00D66373&quot;/&gt;&lt;wsp:rsid wsp:val=&quot;00D66C53&quot;/&gt;&lt;wsp:rsid wsp:val=&quot;00D6781B&quot;/&gt;&lt;wsp:rsid wsp:val=&quot;00D67BE8&quot;/&gt;&lt;wsp:rsid wsp:val=&quot;00D701C3&quot;/&gt;&lt;wsp:rsid wsp:val=&quot;00D72213&quot;/&gt;&lt;wsp:rsid wsp:val=&quot;00D76391&quot;/&gt;&lt;wsp:rsid wsp:val=&quot;00D76736&quot;/&gt;&lt;wsp:rsid wsp:val=&quot;00D81D6F&quot;/&gt;&lt;wsp:rsid wsp:val=&quot;00D8292D&quot;/&gt;&lt;wsp:rsid wsp:val=&quot;00D82F01&quot;/&gt;&lt;wsp:rsid wsp:val=&quot;00D82F8E&quot;/&gt;&lt;wsp:rsid wsp:val=&quot;00D85299&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686F&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03FD&quot;/&gt;&lt;wsp:rsid wsp:val=&quot;00DB156D&quot;/&gt;&lt;wsp:rsid wsp:val=&quot;00DB17FD&quot;/&gt;&lt;wsp:rsid wsp:val=&quot;00DB25C9&quot;/&gt;&lt;wsp:rsid wsp:val=&quot;00DB2887&quot;/&gt;&lt;wsp:rsid wsp:val=&quot;00DB3AC5&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0B43&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3C9&quot;/&gt;&lt;wsp:rsid wsp:val=&quot;00DE144D&quot;/&gt;&lt;wsp:rsid wsp:val=&quot;00DE15ED&quot;/&gt;&lt;wsp:rsid wsp:val=&quot;00DE1739&quot;/&gt;&lt;wsp:rsid wsp:val=&quot;00DE6C95&quot;/&gt;&lt;wsp:rsid wsp:val=&quot;00DF0111&quot;/&gt;&lt;wsp:rsid wsp:val=&quot;00DF5416&quot;/&gt;&lt;wsp:rsid wsp:val=&quot;00E00053&quot;/&gt;&lt;wsp:rsid wsp:val=&quot;00E00BB2&quot;/&gt;&lt;wsp:rsid wsp:val=&quot;00E021E5&quot;/&gt;&lt;wsp:rsid wsp:val=&quot;00E02359&quot;/&gt;&lt;wsp:rsid wsp:val=&quot;00E03022&quot;/&gt;&lt;wsp:rsid wsp:val=&quot;00E04707&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1FD9&quot;/&gt;&lt;wsp:rsid wsp:val=&quot;00E22104&quot;/&gt;&lt;wsp:rsid wsp:val=&quot;00E24A3F&quot;/&gt;&lt;wsp:rsid wsp:val=&quot;00E25D1D&quot;/&gt;&lt;wsp:rsid wsp:val=&quot;00E2627F&quot;/&gt;&lt;wsp:rsid wsp:val=&quot;00E26964&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483&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A5&quot;/&gt;&lt;wsp:rsid wsp:val=&quot;00E730D0&quot;/&gt;&lt;wsp:rsid wsp:val=&quot;00E74753&quot;/&gt;&lt;wsp:rsid wsp:val=&quot;00E7512C&quot;/&gt;&lt;wsp:rsid wsp:val=&quot;00E75737&quot;/&gt;&lt;wsp:rsid wsp:val=&quot;00E75E82&quot;/&gt;&lt;wsp:rsid wsp:val=&quot;00E7769E&quot;/&gt;&lt;wsp:rsid wsp:val=&quot;00E81458&quot;/&gt;&lt;wsp:rsid wsp:val=&quot;00E8276B&quot;/&gt;&lt;wsp:rsid wsp:val=&quot;00E828C3&quot;/&gt;&lt;wsp:rsid wsp:val=&quot;00E83543&quot;/&gt;&lt;wsp:rsid wsp:val=&quot;00E83CC5&quot;/&gt;&lt;wsp:rsid wsp:val=&quot;00E840A5&quot;/&gt;&lt;wsp:rsid wsp:val=&quot;00E85A53&quot;/&gt;&lt;wsp:rsid wsp:val=&quot;00E87AB9&quot;/&gt;&lt;wsp:rsid wsp:val=&quot;00E90CED&quot;/&gt;&lt;wsp:rsid wsp:val=&quot;00E91816&quot;/&gt;&lt;wsp:rsid wsp:val=&quot;00E94D93&quot;/&gt;&lt;wsp:rsid wsp:val=&quot;00E95A5C&quot;/&gt;&lt;wsp:rsid wsp:val=&quot;00E95F0A&quot;/&gt;&lt;wsp:rsid wsp:val=&quot;00E968DC&quot;/&gt;&lt;wsp:rsid wsp:val=&quot;00E97987&quot;/&gt;&lt;wsp:rsid wsp:val=&quot;00EA0D4F&quot;/&gt;&lt;wsp:rsid wsp:val=&quot;00EA1EF6&quot;/&gt;&lt;wsp:rsid wsp:val=&quot;00EA20AC&quot;/&gt;&lt;wsp:rsid wsp:val=&quot;00EA21B3&quot;/&gt;&lt;wsp:rsid wsp:val=&quot;00EA235C&quot;/&gt;&lt;wsp:rsid wsp:val=&quot;00EA3085&quot;/&gt;&lt;wsp:rsid wsp:val=&quot;00EA78CB&quot;/&gt;&lt;wsp:rsid wsp:val=&quot;00EA7990&quot;/&gt;&lt;wsp:rsid wsp:val=&quot;00EB0E0F&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B17&quot;/&gt;&lt;wsp:rsid wsp:val=&quot;00EE1DB6&quot;/&gt;&lt;wsp:rsid wsp:val=&quot;00EE5BF5&quot;/&gt;&lt;wsp:rsid wsp:val=&quot;00EE700F&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771&quot;/&gt;&lt;wsp:rsid wsp:val=&quot;00F00BDB&quot;/&gt;&lt;wsp:rsid wsp:val=&quot;00F053A6&quot;/&gt;&lt;wsp:rsid wsp:val=&quot;00F07602&quot;/&gt;&lt;wsp:rsid wsp:val=&quot;00F07B8D&quot;/&gt;&lt;wsp:rsid wsp:val=&quot;00F07D58&quot;/&gt;&lt;wsp:rsid wsp:val=&quot;00F1076C&quot;/&gt;&lt;wsp:rsid wsp:val=&quot;00F10F06&quot;/&gt;&lt;wsp:rsid wsp:val=&quot;00F1304F&quot;/&gt;&lt;wsp:rsid wsp:val=&quot;00F13A18&quot;/&gt;&lt;wsp:rsid wsp:val=&quot;00F1518F&quot;/&gt;&lt;wsp:rsid wsp:val=&quot;00F15389&quot;/&gt;&lt;wsp:rsid wsp:val=&quot;00F1599E&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286F&quot;/&gt;&lt;wsp:rsid wsp:val=&quot;00F33DA4&quot;/&gt;&lt;wsp:rsid wsp:val=&quot;00F3493A&quot;/&gt;&lt;wsp:rsid wsp:val=&quot;00F353C6&quot;/&gt;&lt;wsp:rsid wsp:val=&quot;00F36949&quot;/&gt;&lt;wsp:rsid wsp:val=&quot;00F36C74&quot;/&gt;&lt;wsp:rsid wsp:val=&quot;00F37644&quot;/&gt;&lt;wsp:rsid wsp:val=&quot;00F44456&quot;/&gt;&lt;wsp:rsid wsp:val=&quot;00F44AAD&quot;/&gt;&lt;wsp:rsid wsp:val=&quot;00F44ADB&quot;/&gt;&lt;wsp:rsid wsp:val=&quot;00F45D8C&quot;/&gt;&lt;wsp:rsid wsp:val=&quot;00F460E7&quot;/&gt;&lt;wsp:rsid wsp:val=&quot;00F5134E&quot;/&gt;&lt;wsp:rsid wsp:val=&quot;00F52B54&quot;/&gt;&lt;wsp:rsid wsp:val=&quot;00F541CD&quot;/&gt;&lt;wsp:rsid wsp:val=&quot;00F609A6&quot;/&gt;&lt;wsp:rsid wsp:val=&quot;00F61405&quot;/&gt;&lt;wsp:rsid wsp:val=&quot;00F61573&quot;/&gt;&lt;wsp:rsid wsp:val=&quot;00F632C7&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4E42&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3D51&quot;/&gt;&lt;wsp:rsid wsp:val=&quot;00FA4646&quot;/&gt;&lt;wsp:rsid wsp:val=&quot;00FA6DD9&quot;/&gt;&lt;wsp:rsid wsp:val=&quot;00FA7C6E&quot;/&gt;&lt;wsp:rsid wsp:val=&quot;00FB02B8&quot;/&gt;&lt;wsp:rsid wsp:val=&quot;00FB0F0E&quot;/&gt;&lt;wsp:rsid wsp:val=&quot;00FB1E36&quot;/&gt;&lt;wsp:rsid wsp:val=&quot;00FB3721&quot;/&gt;&lt;wsp:rsid wsp:val=&quot;00FC0112&quot;/&gt;&lt;wsp:rsid wsp:val=&quot;00FC2435&quot;/&gt;&lt;wsp:rsid wsp:val=&quot;00FC2853&quot;/&gt;&lt;wsp:rsid wsp:val=&quot;00FC2A3B&quot;/&gt;&lt;wsp:rsid wsp:val=&quot;00FC56EC&quot;/&gt;&lt;wsp:rsid wsp:val=&quot;00FC5F97&quot;/&gt;&lt;wsp:rsid wsp:val=&quot;00FC5FCE&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 wsp:val=&quot;01913EE5&quot;/&gt;&lt;wsp:rsid wsp:val=&quot;028F592D&quot;/&gt;&lt;wsp:rsid wsp:val=&quot;03442226&quot;/&gt;&lt;wsp:rsid wsp:val=&quot;03653EFA&quot;/&gt;&lt;wsp:rsid wsp:val=&quot;041A1B6C&quot;/&gt;&lt;wsp:rsid wsp:val=&quot;05076F73&quot;/&gt;&lt;wsp:rsid wsp:val=&quot;069D413E&quot;/&gt;&lt;wsp:rsid wsp:val=&quot;0AED07E6&quot;/&gt;&lt;wsp:rsid wsp:val=&quot;0C5000D6&quot;/&gt;&lt;wsp:rsid wsp:val=&quot;0D5027DF&quot;/&gt;&lt;wsp:rsid wsp:val=&quot;0DAA3665&quot;/&gt;&lt;wsp:rsid wsp:val=&quot;0F522479&quot;/&gt;&lt;wsp:rsid wsp:val=&quot;0F964C30&quot;/&gt;&lt;wsp:rsid wsp:val=&quot;10954101&quot;/&gt;&lt;wsp:rsid wsp:val=&quot;129670E6&quot;/&gt;&lt;wsp:rsid wsp:val=&quot;13535C1D&quot;/&gt;&lt;wsp:rsid wsp:val=&quot;13B00235&quot;/&gt;&lt;wsp:rsid wsp:val=&quot;142D3110&quot;/&gt;&lt;wsp:rsid wsp:val=&quot;147D7105&quot;/&gt;&lt;wsp:rsid wsp:val=&quot;15505755&quot;/&gt;&lt;wsp:rsid wsp:val=&quot;162D6DFB&quot;/&gt;&lt;wsp:rsid wsp:val=&quot;16A6727C&quot;/&gt;&lt;wsp:rsid wsp:val=&quot;176F31FD&quot;/&gt;&lt;wsp:rsid wsp:val=&quot;1AE579CF&quot;/&gt;&lt;wsp:rsid wsp:val=&quot;1B7B1F7C&quot;/&gt;&lt;wsp:rsid wsp:val=&quot;1BDF4200&quot;/&gt;&lt;wsp:rsid wsp:val=&quot;1C461BF2&quot;/&gt;&lt;wsp:rsid wsp:val=&quot;1CBE498C&quot;/&gt;&lt;wsp:rsid wsp:val=&quot;1F633C25&quot;/&gt;&lt;wsp:rsid wsp:val=&quot;1FE525D4&quot;/&gt;&lt;wsp:rsid wsp:val=&quot;21962554&quot;/&gt;&lt;wsp:rsid wsp:val=&quot;21AB295D&quot;/&gt;&lt;wsp:rsid wsp:val=&quot;21E62F9A&quot;/&gt;&lt;wsp:rsid wsp:val=&quot;23FC2058&quot;/&gt;&lt;wsp:rsid wsp:val=&quot;24083460&quot;/&gt;&lt;wsp:rsid wsp:val=&quot;240C1A97&quot;/&gt;&lt;wsp:rsid wsp:val=&quot;24402A29&quot;/&gt;&lt;wsp:rsid wsp:val=&quot;24EF1192&quot;/&gt;&lt;wsp:rsid wsp:val=&quot;26B54D1B&quot;/&gt;&lt;wsp:rsid wsp:val=&quot;27504F53&quot;/&gt;&lt;wsp:rsid wsp:val=&quot;27EC0D41&quot;/&gt;&lt;wsp:rsid wsp:val=&quot;288C7A13&quot;/&gt;&lt;wsp:rsid wsp:val=&quot;29280A4A&quot;/&gt;&lt;wsp:rsid wsp:val=&quot;2A242902&quot;/&gt;&lt;wsp:rsid wsp:val=&quot;2B0F5A52&quot;/&gt;&lt;wsp:rsid wsp:val=&quot;2BA210C8&quot;/&gt;&lt;wsp:rsid wsp:val=&quot;2C322210&quot;/&gt;&lt;wsp:rsid wsp:val=&quot;2C880EAC&quot;/&gt;&lt;wsp:rsid wsp:val=&quot;2D0B45D8&quot;/&gt;&lt;wsp:rsid wsp:val=&quot;2D7A5F58&quot;/&gt;&lt;wsp:rsid wsp:val=&quot;2DE5090C&quot;/&gt;&lt;wsp:rsid wsp:val=&quot;2F245151&quot;/&gt;&lt;wsp:rsid wsp:val=&quot;2F9C50D7&quot;/&gt;&lt;wsp:rsid wsp:val=&quot;31CE7C91&quot;/&gt;&lt;wsp:rsid wsp:val=&quot;3337290D&quot;/&gt;&lt;wsp:rsid wsp:val=&quot;36284D13&quot;/&gt;&lt;wsp:rsid wsp:val=&quot;3894435E&quot;/&gt;&lt;wsp:rsid wsp:val=&quot;39093C9F&quot;/&gt;&lt;wsp:rsid wsp:val=&quot;3A3141FD&quot;/&gt;&lt;wsp:rsid wsp:val=&quot;3A4F2B98&quot;/&gt;&lt;wsp:rsid wsp:val=&quot;3ADB3587&quot;/&gt;&lt;wsp:rsid wsp:val=&quot;3B7A0243&quot;/&gt;&lt;wsp:rsid wsp:val=&quot;3D3B012F&quot;/&gt;&lt;wsp:rsid wsp:val=&quot;3F946430&quot;/&gt;&lt;wsp:rsid wsp:val=&quot;414D6E8F&quot;/&gt;&lt;wsp:rsid wsp:val=&quot;44C457EC&quot;/&gt;&lt;wsp:rsid wsp:val=&quot;453D5151&quot;/&gt;&lt;wsp:rsid wsp:val=&quot;46087ED9&quot;/&gt;&lt;wsp:rsid wsp:val=&quot;464F3E74&quot;/&gt;&lt;wsp:rsid wsp:val=&quot;47B7007B&quot;/&gt;&lt;wsp:rsid wsp:val=&quot;4AF34469&quot;/&gt;&lt;wsp:rsid wsp:val=&quot;4DC67269&quot;/&gt;&lt;wsp:rsid wsp:val=&quot;4EB12B06&quot;/&gt;&lt;wsp:rsid wsp:val=&quot;500669FA&quot;/&gt;&lt;wsp:rsid wsp:val=&quot;50780669&quot;/&gt;&lt;wsp:rsid wsp:val=&quot;510F2B1C&quot;/&gt;&lt;wsp:rsid wsp:val=&quot;531F30EF&quot;/&gt;&lt;wsp:rsid wsp:val=&quot;53FC68EC&quot;/&gt;&lt;wsp:rsid wsp:val=&quot;55C31C18&quot;/&gt;&lt;wsp:rsid wsp:val=&quot;563802EA&quot;/&gt;&lt;wsp:rsid wsp:val=&quot;56DC4230&quot;/&gt;&lt;wsp:rsid wsp:val=&quot;57504909&quot;/&gt;&lt;wsp:rsid wsp:val=&quot;583E2C99&quot;/&gt;&lt;wsp:rsid wsp:val=&quot;59801151&quot;/&gt;&lt;wsp:rsid wsp:val=&quot;5DF259C4&quot;/&gt;&lt;wsp:rsid wsp:val=&quot;60B62CF0&quot;/&gt;&lt;wsp:rsid wsp:val=&quot;64894531&quot;/&gt;&lt;wsp:rsid wsp:val=&quot;65185966&quot;/&gt;&lt;wsp:rsid wsp:val=&quot;651B6D5B&quot;/&gt;&lt;wsp:rsid wsp:val=&quot;655E3BFF&quot;/&gt;&lt;wsp:rsid wsp:val=&quot;65D861FB&quot;/&gt;&lt;wsp:rsid wsp:val=&quot;66874C3F&quot;/&gt;&lt;wsp:rsid wsp:val=&quot;66B83AD3&quot;/&gt;&lt;wsp:rsid wsp:val=&quot;67297020&quot;/&gt;&lt;wsp:rsid wsp:val=&quot;67C878B1&quot;/&gt;&lt;wsp:rsid wsp:val=&quot;68856D5A&quot;/&gt;&lt;wsp:rsid wsp:val=&quot;69E43F64&quot;/&gt;&lt;wsp:rsid wsp:val=&quot;6A4F07BF&quot;/&gt;&lt;wsp:rsid wsp:val=&quot;6AE00E93&quot;/&gt;&lt;wsp:rsid wsp:val=&quot;6B6272BA&quot;/&gt;&lt;wsp:rsid wsp:val=&quot;6D5814A1&quot;/&gt;&lt;wsp:rsid wsp:val=&quot;6EC31DA1&quot;/&gt;&lt;wsp:rsid wsp:val=&quot;6F0179C4&quot;/&gt;&lt;wsp:rsid wsp:val=&quot;71D35B1D&quot;/&gt;&lt;wsp:rsid wsp:val=&quot;73A2363E&quot;/&gt;&lt;wsp:rsid wsp:val=&quot;73BA76AB&quot;/&gt;&lt;wsp:rsid wsp:val=&quot;74864E1F&quot;/&gt;&lt;wsp:rsid wsp:val=&quot;75E507FE&quot;/&gt;&lt;wsp:rsid wsp:val=&quot;762A50E3&quot;/&gt;&lt;wsp:rsid wsp:val=&quot;76832D14&quot;/&gt;&lt;wsp:rsid wsp:val=&quot;770120C4&quot;/&gt;&lt;wsp:rsid wsp:val=&quot;792621D5&quot;/&gt;&lt;wsp:rsid wsp:val=&quot;79CF15E2&quot;/&gt;&lt;wsp:rsid wsp:val=&quot;7B1A1859&quot;/&gt;&lt;wsp:rsid wsp:val=&quot;7D934810&quot;/&gt;&lt;wsp:rsid wsp:val=&quot;7D98132E&quot;/&gt;&lt;wsp:rsid wsp:val=&quot;7DBB021F&quot;/&gt;&lt;wsp:rsid wsp:val=&quot;7E502455&quot;/&gt;&lt;wsp:rsid wsp:val=&quot;7E6B465F&quot;/&gt;&lt;wsp:rsid wsp:val=&quot;7FF4188E&quot;/&gt;&lt;/wsp:rsids&gt;&lt;/w:docPr&gt;&lt;w:body&gt;&lt;wx:sect&gt;&lt;w:p wsp:rsidR=&quot;00000000&quot; wsp:rsidRDefault=&quot;00F3493A&quot; wsp:rsidP=&quot;00F3493A&quot;&gt;&lt;m:oMathPara&gt;&lt;m:oMath&gt;&lt;m:r&gt;&lt;w:rPr&gt;&lt;w:rFonts w:ascii=&quot;Cambria Math&quot; w:h-ansi=&quot;Cambria Math&quot;/&gt;&lt;wx:font wx:val=&quot;Cambria Math&quot;/&gt;&lt;w:i/&gt;&lt;w:sz-cs w:val=&quot;20&quot;/&gt;&lt;w:lang w:fareast=&quot;KO&quot;/&gt;&lt;/w:rPr&gt;&lt;m:t&gt;m+3&lt;/m:t&gt;&lt;/m:r&gt;&lt;m:sSubSup&gt;&lt;m:sSubSupPr&gt;&lt;m:ctrlPr&gt;&lt;w:rPr&gt;&lt;w:rFonts w:ascii=&quot;Cambria Math&quot; w:h-ansi=&quot;Cambria Math&quot;/&gt;&lt;wx:font wx:val=&quot;Cambria Math&quot;/&gt;&lt;w:b-cs/&gt;&lt;w:i/&gt;&lt;w:sz-cs w:val=&quot;20&quot;/&gt;&lt;w:lang w:fareast=&quot;KO&quot;/&gt;&lt;/w:rPr&gt;&lt;/m:ctrlPr&gt;&lt;/m:sSubSupPr&gt;&lt;m:e&gt;&lt;m:r&gt;&lt;w:rPr&gt;&lt;w:rFonts w:ascii=&quot;Cambria Math&quot; w:h-ansi=&quot;Cambria Math&quot;/&gt;&lt;wx:font wx:val=&quot;Cambria Math&quot;/&gt;&lt;w:i/&gt;&lt;w:sz-cs w:val=&quot;20&quot;/&gt;&lt;w:lang w:fareast=&quot;KO&quot;/&gt;&lt;/w:rPr&gt;&lt;m:t&gt;N&lt;/m:t&gt;&lt;/m:r&gt;&lt;/m:e&gt;&lt;m:sub&gt;&lt;m:r&gt;&lt;m:rPr&gt;&lt;m:nor/&gt;&lt;/m:rPr&gt;&lt;w:rPr&gt;&lt;w:rFonts w:ascii=&quot;Times New Roman&quot; w:h-ansi=&quot;Times New Roman&quot;/&gt;&lt;wx:font wx:val=&quot;Times New Roman&quot;/&gt;&lt;w:b-cs/&gt;&lt;w:i/&gt;&lt;w:sz-cs w:val=&quot;20&quot;/&gt;&lt;w:lang w:fareast=&quot;KO&quot;/&gt;&lt;/w:rPr&gt;&lt;m:t&gt;slot&lt;/m:t&gt;&lt;/m:r&gt;&lt;/m:sub&gt;&lt;m:sup&gt;&lt;m:r&gt;&lt;m:rPr&gt;&lt;m:nor/&gt;&lt;/m:rPr&gt;&lt;w:rPr&gt;&lt;w:rFonts w:ascii=&quot;Times New Roman&quot; w:h-ansi=&quot;Times New Roman&quot;/&gt;&lt;wx:font wx:val=&quot;Times New Roman&quot;/&gt;&lt;w:b-cs/&gt;&lt;w:i/&gt;&lt;w:sz-cs w:val=&quot;20&quot;/&gt;&lt;w:lang w:fareast=&quot;KO&quot;/&gt;&lt;/w:rPr&gt;&lt;m:t&gt;subframe&lt;/m:t&gt;&lt;/m:r&gt;&lt;m:r&gt;&lt;w:rPr&gt;&lt;w:rFonts w:ascii=&quot;Cambria Math&quot; w:h-ansi=&quot;Cambria Math&quot;/&gt;&lt;wx:font wx:val=&quot;Cambria Math&quot;/&gt;&lt;w:i/&gt;&lt;w:sz-cs w:val=&quot;20&quot;/&gt;&lt;w:lang w:fareast=&quot;KO&quot;/&gt;&lt;/w:rPr&gt;&lt;m:t&gt;,μ&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hint="eastAsia"/>
          <w:lang w:val="en-US" w:eastAsia="ko-KR"/>
        </w:rPr>
        <w:instrText xml:space="preserve"> </w:instrText>
      </w:r>
      <w:r>
        <w:rPr>
          <w:rFonts w:hint="eastAsia"/>
          <w:lang w:val="en-US" w:eastAsia="ko-KR"/>
        </w:rPr>
        <w:fldChar w:fldCharType="separate"/>
      </w:r>
      <w:r>
        <w:rPr>
          <w:rFonts w:hint="eastAsia"/>
          <w:lang w:val="en-US" w:eastAsia="zh-CN"/>
        </w:rPr>
        <w:pict>
          <v:shape id="_x0000_i1032" o:spt="75" type="#_x0000_t75" style="height:15pt;width:6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defaultTabStop w:val=&quot;799&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27A5&quot;/&gt;&lt;wsp:rsid wsp:val=&quot;000049DC&quot;/&gt;&lt;wsp:rsid wsp:val=&quot;00006115&quot;/&gt;&lt;wsp:rsid wsp:val=&quot;00006E91&quot;/&gt;&lt;wsp:rsid wsp:val=&quot;00013C50&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5694&quot;/&gt;&lt;wsp:rsid wsp:val=&quot;0002646D&quot;/&gt;&lt;wsp:rsid wsp:val=&quot;0002658D&quot;/&gt;&lt;wsp:rsid wsp:val=&quot;00027418&quot;/&gt;&lt;wsp:rsid wsp:val=&quot;00027793&quot;/&gt;&lt;wsp:rsid wsp:val=&quot;00030286&quot;/&gt;&lt;wsp:rsid wsp:val=&quot;000321DC&quot;/&gt;&lt;wsp:rsid wsp:val=&quot;00032D66&quot;/&gt;&lt;wsp:rsid wsp:val=&quot;00034896&quot;/&gt;&lt;wsp:rsid wsp:val=&quot;00034D4D&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1EEE&quot;/&gt;&lt;wsp:rsid wsp:val=&quot;00063AE7&quot;/&gt;&lt;wsp:rsid wsp:val=&quot;00064CDB&quot;/&gt;&lt;wsp:rsid wsp:val=&quot;000666C0&quot;/&gt;&lt;wsp:rsid wsp:val=&quot;00070E52&quot;/&gt;&lt;wsp:rsid wsp:val=&quot;00073A64&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0F2&quot;/&gt;&lt;wsp:rsid wsp:val=&quot;000969AF&quot;/&gt;&lt;wsp:rsid wsp:val=&quot;000A0641&quot;/&gt;&lt;wsp:rsid wsp:val=&quot;000A3922&quot;/&gt;&lt;wsp:rsid wsp:val=&quot;000A57B3&quot;/&gt;&lt;wsp:rsid wsp:val=&quot;000A5EF6&quot;/&gt;&lt;wsp:rsid wsp:val=&quot;000B0DA5&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229&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0F0529&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411F&quot;/&gt;&lt;wsp:rsid wsp:val=&quot;001452E3&quot;/&gt;&lt;wsp:rsid wsp:val=&quot;00145E2B&quot;/&gt;&lt;wsp:rsid wsp:val=&quot;0014603D&quot;/&gt;&lt;wsp:rsid wsp:val=&quot;00146D61&quot;/&gt;&lt;wsp:rsid wsp:val=&quot;001474C4&quot;/&gt;&lt;wsp:rsid wsp:val=&quot;00150C17&quot;/&gt;&lt;wsp:rsid wsp:val=&quot;0015249E&quot;/&gt;&lt;wsp:rsid wsp:val=&quot;00154717&quot;/&gt;&lt;wsp:rsid wsp:val=&quot;00155082&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0489&quot;/&gt;&lt;wsp:rsid wsp:val=&quot;001804F1&quot;/&gt;&lt;wsp:rsid wsp:val=&quot;001810BD&quot;/&gt;&lt;wsp:rsid wsp:val=&quot;00181906&quot;/&gt;&lt;wsp:rsid wsp:val=&quot;00182437&quot;/&gt;&lt;wsp:rsid wsp:val=&quot;00182D68&quot;/&gt;&lt;wsp:rsid wsp:val=&quot;00184862&quot;/&gt;&lt;wsp:rsid wsp:val=&quot;00184D3E&quot;/&gt;&lt;wsp:rsid wsp:val=&quot;00185777&quot;/&gt;&lt;wsp:rsid wsp:val=&quot;00185CFE&quot;/&gt;&lt;wsp:rsid wsp:val=&quot;00186520&quot;/&gt;&lt;wsp:rsid wsp:val=&quot;00191AC9&quot;/&gt;&lt;wsp:rsid wsp:val=&quot;001941E6&quot;/&gt;&lt;wsp:rsid wsp:val=&quot;0019426E&quot;/&gt;&lt;wsp:rsid wsp:val=&quot;00195BCA&quot;/&gt;&lt;wsp:rsid wsp:val=&quot;00197AA5&quot;/&gt;&lt;wsp:rsid wsp:val=&quot;001A0414&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79F&quot;/&gt;&lt;wsp:rsid wsp:val=&quot;001C3FFD&quot;/&gt;&lt;wsp:rsid wsp:val=&quot;001C40D9&quot;/&gt;&lt;wsp:rsid wsp:val=&quot;001C5621&quot;/&gt;&lt;wsp:rsid wsp:val=&quot;001C74BE&quot;/&gt;&lt;wsp:rsid wsp:val=&quot;001C7C35&quot;/&gt;&lt;wsp:rsid wsp:val=&quot;001D0216&quot;/&gt;&lt;wsp:rsid wsp:val=&quot;001D04E7&quot;/&gt;&lt;wsp:rsid wsp:val=&quot;001D150F&quot;/&gt;&lt;wsp:rsid wsp:val=&quot;001D41B7&quot;/&gt;&lt;wsp:rsid wsp:val=&quot;001D52A5&quot;/&gt;&lt;wsp:rsid wsp:val=&quot;001D5746&quot;/&gt;&lt;wsp:rsid wsp:val=&quot;001D6962&quot;/&gt;&lt;wsp:rsid wsp:val=&quot;001D6F38&quot;/&gt;&lt;wsp:rsid wsp:val=&quot;001D7AE8&quot;/&gt;&lt;wsp:rsid wsp:val=&quot;001D7CDA&quot;/&gt;&lt;wsp:rsid wsp:val=&quot;001E3299&quot;/&gt;&lt;wsp:rsid wsp:val=&quot;001E41BC&quot;/&gt;&lt;wsp:rsid wsp:val=&quot;001E4536&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1F3928&quot;/&gt;&lt;wsp:rsid wsp:val=&quot;002004B2&quot;/&gt;&lt;wsp:rsid wsp:val=&quot;00202C71&quot;/&gt;&lt;wsp:rsid wsp:val=&quot;0020564C&quot;/&gt;&lt;wsp:rsid wsp:val=&quot;00206F84&quot;/&gt;&lt;wsp:rsid wsp:val=&quot;00210B7B&quot;/&gt;&lt;wsp:rsid wsp:val=&quot;00211448&quot;/&gt;&lt;wsp:rsid wsp:val=&quot;0021214B&quot;/&gt;&lt;wsp:rsid wsp:val=&quot;00213E6A&quot;/&gt;&lt;wsp:rsid wsp:val=&quot;00214F2A&quot;/&gt;&lt;wsp:rsid wsp:val=&quot;00216804&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0826&quot;/&gt;&lt;wsp:rsid wsp:val=&quot;0025116B&quot;/&gt;&lt;wsp:rsid wsp:val=&quot;00251A50&quot;/&gt;&lt;wsp:rsid wsp:val=&quot;002526D0&quot;/&gt;&lt;wsp:rsid wsp:val=&quot;0025466B&quot;/&gt;&lt;wsp:rsid wsp:val=&quot;00254FA9&quot;/&gt;&lt;wsp:rsid wsp:val=&quot;002556B6&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D9B&quot;/&gt;&lt;wsp:rsid wsp:val=&quot;00282E2C&quot;/&gt;&lt;wsp:rsid wsp:val=&quot;00282FD2&quot;/&gt;&lt;wsp:rsid wsp:val=&quot;00284207&quot;/&gt;&lt;wsp:rsid wsp:val=&quot;00285E3A&quot;/&gt;&lt;wsp:rsid wsp:val=&quot;00286532&quot;/&gt;&lt;wsp:rsid wsp:val=&quot;002912A8&quot;/&gt;&lt;wsp:rsid wsp:val=&quot;00293C36&quot;/&gt;&lt;wsp:rsid wsp:val=&quot;00293DB3&quot;/&gt;&lt;wsp:rsid wsp:val=&quot;0029433B&quot;/&gt;&lt;wsp:rsid wsp:val=&quot;00294EFB&quot;/&gt;&lt;wsp:rsid wsp:val=&quot;0029757E&quot;/&gt;&lt;wsp:rsid wsp:val=&quot;00297DD6&quot;/&gt;&lt;wsp:rsid wsp:val=&quot;00297DED&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6FA4&quot;/&gt;&lt;wsp:rsid wsp:val=&quot;002C7702&quot;/&gt;&lt;wsp:rsid wsp:val=&quot;002D0410&quot;/&gt;&lt;wsp:rsid wsp:val=&quot;002D1A27&quot;/&gt;&lt;wsp:rsid wsp:val=&quot;002D2CF7&quot;/&gt;&lt;wsp:rsid wsp:val=&quot;002D4D40&quot;/&gt;&lt;wsp:rsid wsp:val=&quot;002D5218&quot;/&gt;&lt;wsp:rsid wsp:val=&quot;002D6E7D&quot;/&gt;&lt;wsp:rsid wsp:val=&quot;002E1DF6&quot;/&gt;&lt;wsp:rsid wsp:val=&quot;002E687D&quot;/&gt;&lt;wsp:rsid wsp:val=&quot;002E74B5&quot;/&gt;&lt;wsp:rsid wsp:val=&quot;002F0759&quot;/&gt;&lt;wsp:rsid wsp:val=&quot;002F10CA&quot;/&gt;&lt;wsp:rsid wsp:val=&quot;002F1E2B&quot;/&gt;&lt;wsp:rsid wsp:val=&quot;002F2880&quot;/&gt;&lt;wsp:rsid wsp:val=&quot;002F4411&quot;/&gt;&lt;wsp:rsid wsp:val=&quot;002F5259&quot;/&gt;&lt;wsp:rsid wsp:val=&quot;002F57D7&quot;/&gt;&lt;wsp:rsid wsp:val=&quot;002F64B1&quot;/&gt;&lt;wsp:rsid wsp:val=&quot;002F7271&quot;/&gt;&lt;wsp:rsid wsp:val=&quot;002F739A&quot;/&gt;&lt;wsp:rsid wsp:val=&quot;00302398&quot;/&gt;&lt;wsp:rsid wsp:val=&quot;00304116&quot;/&gt;&lt;wsp:rsid wsp:val=&quot;003043B3&quot;/&gt;&lt;wsp:rsid wsp:val=&quot;0030490C&quot;/&gt;&lt;wsp:rsid wsp:val=&quot;0030546D&quot;/&gt;&lt;wsp:rsid wsp:val=&quot;0031112E&quot;/&gt;&lt;wsp:rsid wsp:val=&quot;00312317&quot;/&gt;&lt;wsp:rsid wsp:val=&quot;00313594&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2362&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434D&quot;/&gt;&lt;wsp:rsid wsp:val=&quot;00374380&quot;/&gt;&lt;wsp:rsid wsp:val=&quot;00374F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3028&quot;/&gt;&lt;wsp:rsid wsp:val=&quot;00394116&quot;/&gt;&lt;wsp:rsid wsp:val=&quot;00394AC8&quot;/&gt;&lt;wsp:rsid wsp:val=&quot;003957ED&quot;/&gt;&lt;wsp:rsid wsp:val=&quot;00397A6D&quot;/&gt;&lt;wsp:rsid wsp:val=&quot;003A135F&quot;/&gt;&lt;wsp:rsid wsp:val=&quot;003A4382&quot;/&gt;&lt;wsp:rsid wsp:val=&quot;003A4607&quot;/&gt;&lt;wsp:rsid wsp:val=&quot;003A72FB&quot;/&gt;&lt;wsp:rsid wsp:val=&quot;003A7CEB&quot;/&gt;&lt;wsp:rsid wsp:val=&quot;003B0BF8&quot;/&gt;&lt;wsp:rsid wsp:val=&quot;003B2B12&quot;/&gt;&lt;wsp:rsid wsp:val=&quot;003B30EF&quot;/&gt;&lt;wsp:rsid wsp:val=&quot;003B3DC0&quot;/&gt;&lt;wsp:rsid wsp:val=&quot;003B6548&quot;/&gt;&lt;wsp:rsid wsp:val=&quot;003B7BF9&quot;/&gt;&lt;wsp:rsid wsp:val=&quot;003C04F9&quot;/&gt;&lt;wsp:rsid wsp:val=&quot;003C1E97&quot;/&gt;&lt;wsp:rsid wsp:val=&quot;003C3033&quot;/&gt;&lt;wsp:rsid wsp:val=&quot;003C4584&quot;/&gt;&lt;wsp:rsid wsp:val=&quot;003C4EAC&quot;/&gt;&lt;wsp:rsid wsp:val=&quot;003C5C06&quot;/&gt;&lt;wsp:rsid wsp:val=&quot;003C6728&quot;/&gt;&lt;wsp:rsid wsp:val=&quot;003D194E&quot;/&gt;&lt;wsp:rsid wsp:val=&quot;003D33A8&quot;/&gt;&lt;wsp:rsid wsp:val=&quot;003D43C9&quot;/&gt;&lt;wsp:rsid wsp:val=&quot;003D4D92&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33B7&quot;/&gt;&lt;wsp:rsid wsp:val=&quot;003F39F6&quot;/&gt;&lt;wsp:rsid wsp:val=&quot;003F4797&quot;/&gt;&lt;wsp:rsid wsp:val=&quot;003F47B5&quot;/&gt;&lt;wsp:rsid wsp:val=&quot;003F7A24&quot;/&gt;&lt;wsp:rsid wsp:val=&quot;004003E8&quot;/&gt;&lt;wsp:rsid wsp:val=&quot;004019CB&quot;/&gt;&lt;wsp:rsid wsp:val=&quot;0040222B&quot;/&gt;&lt;wsp:rsid wsp:val=&quot;004022CC&quot;/&gt;&lt;wsp:rsid wsp:val=&quot;00402831&quot;/&gt;&lt;wsp:rsid wsp:val=&quot;00403018&quot;/&gt;&lt;wsp:rsid wsp:val=&quot;004032F1&quot;/&gt;&lt;wsp:rsid wsp:val=&quot;004035F6&quot;/&gt;&lt;wsp:rsid wsp:val=&quot;00403EDF&quot;/&gt;&lt;wsp:rsid wsp:val=&quot;00404DB1&quot;/&gt;&lt;wsp:rsid wsp:val=&quot;004109C3&quot;/&gt;&lt;wsp:rsid wsp:val=&quot;00412147&quot;/&gt;&lt;wsp:rsid wsp:val=&quot;00413C55&quot;/&gt;&lt;wsp:rsid wsp:val=&quot;00414181&quot;/&gt;&lt;wsp:rsid wsp:val=&quot;004159B2&quot;/&gt;&lt;wsp:rsid wsp:val=&quot;0041624E&quot;/&gt;&lt;wsp:rsid wsp:val=&quot;0041782C&quot;/&gt;&lt;wsp:rsid wsp:val=&quot;004200D8&quot;/&gt;&lt;wsp:rsid wsp:val=&quot;004206FA&quot;/&gt;&lt;wsp:rsid wsp:val=&quot;004213CE&quot;/&gt;&lt;wsp:rsid wsp:val=&quot;004223F1&quot;/&gt;&lt;wsp:rsid wsp:val=&quot;00424AFD&quot;/&gt;&lt;wsp:rsid wsp:val=&quot;00424C9C&quot;/&gt;&lt;wsp:rsid wsp:val=&quot;00430171&quot;/&gt;&lt;wsp:rsid wsp:val=&quot;00431123&quot;/&gt;&lt;wsp:rsid wsp:val=&quot;00431C26&quot;/&gt;&lt;wsp:rsid wsp:val=&quot;00431E83&quot;/&gt;&lt;wsp:rsid wsp:val=&quot;004329DE&quot;/&gt;&lt;wsp:rsid wsp:val=&quot;00432F62&quot;/&gt;&lt;wsp:rsid wsp:val=&quot;004345FD&quot;/&gt;&lt;wsp:rsid wsp:val=&quot;0043707E&quot;/&gt;&lt;wsp:rsid wsp:val=&quot;00437B5E&quot;/&gt;&lt;wsp:rsid wsp:val=&quot;0044004B&quot;/&gt;&lt;wsp:rsid wsp:val=&quot;0044021C&quot;/&gt;&lt;wsp:rsid wsp:val=&quot;00441B41&quot;/&gt;&lt;wsp:rsid wsp:val=&quot;00444E6F&quot;/&gt;&lt;wsp:rsid wsp:val=&quot;00444EC1&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895&quot;/&gt;&lt;wsp:rsid wsp:val=&quot;00471F19&quot;/&gt;&lt;wsp:rsid wsp:val=&quot;00473384&quot;/&gt;&lt;wsp:rsid wsp:val=&quot;00474298&quot;/&gt;&lt;wsp:rsid wsp:val=&quot;00474C18&quot;/&gt;&lt;wsp:rsid wsp:val=&quot;0048214B&quot;/&gt;&lt;wsp:rsid wsp:val=&quot;004826E7&quot;/&gt;&lt;wsp:rsid wsp:val=&quot;00485CEE&quot;/&gt;&lt;wsp:rsid wsp:val=&quot;004874D3&quot;/&gt;&lt;wsp:rsid wsp:val=&quot;004878E4&quot;/&gt;&lt;wsp:rsid wsp:val=&quot;0049013E&quot;/&gt;&lt;wsp:rsid wsp:val=&quot;004902E0&quot;/&gt;&lt;wsp:rsid wsp:val=&quot;00490947&quot;/&gt;&lt;wsp:rsid wsp:val=&quot;00490B8F&quot;/&gt;&lt;wsp:rsid wsp:val=&quot;004910AC&quot;/&gt;&lt;wsp:rsid wsp:val=&quot;00492B8D&quot;/&gt;&lt;wsp:rsid wsp:val=&quot;004945F3&quot;/&gt;&lt;wsp:rsid wsp:val=&quot;00494C99&quot;/&gt;&lt;wsp:rsid wsp:val=&quot;004952EA&quot;/&gt;&lt;wsp:rsid wsp:val=&quot;004A1B0B&quot;/&gt;&lt;wsp:rsid wsp:val=&quot;004A29F5&quot;/&gt;&lt;wsp:rsid wsp:val=&quot;004A2F9D&quot;/&gt;&lt;wsp:rsid wsp:val=&quot;004A4203&quot;/&gt;&lt;wsp:rsid wsp:val=&quot;004A4333&quot;/&gt;&lt;wsp:rsid wsp:val=&quot;004A5270&quot;/&gt;&lt;wsp:rsid wsp:val=&quot;004A6725&quot;/&gt;&lt;wsp:rsid wsp:val=&quot;004A6728&quot;/&gt;&lt;wsp:rsid wsp:val=&quot;004B0FC0&quot;/&gt;&lt;wsp:rsid wsp:val=&quot;004B1BEE&quot;/&gt;&lt;wsp:rsid wsp:val=&quot;004B2359&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2546&quot;/&gt;&lt;wsp:rsid wsp:val=&quot;004D2F5B&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E685E&quot;/&gt;&lt;wsp:rsid wsp:val=&quot;004F21E5&quot;/&gt;&lt;wsp:rsid wsp:val=&quot;004F2E30&quot;/&gt;&lt;wsp:rsid wsp:val=&quot;004F344E&quot;/&gt;&lt;wsp:rsid wsp:val=&quot;004F428C&quot;/&gt;&lt;wsp:rsid wsp:val=&quot;004F6828&quot;/&gt;&lt;wsp:rsid wsp:val=&quot;004F6879&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29FE&quot;/&gt;&lt;wsp:rsid wsp:val=&quot;00514701&quot;/&gt;&lt;wsp:rsid wsp:val=&quot;00514C06&quot;/&gt;&lt;wsp:rsid wsp:val=&quot;00515ADF&quot;/&gt;&lt;wsp:rsid wsp:val=&quot;00516B1D&quot;/&gt;&lt;wsp:rsid wsp:val=&quot;0052072B&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C4E&quot;/&gt;&lt;wsp:rsid wsp:val=&quot;00543EA0&quot;/&gt;&lt;wsp:rsid wsp:val=&quot;0054487A&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0B4F&quot;/&gt;&lt;wsp:rsid wsp:val=&quot;005634EC&quot;/&gt;&lt;wsp:rsid wsp:val=&quot;00563BDE&quot;/&gt;&lt;wsp:rsid wsp:val=&quot;005645C5&quot;/&gt;&lt;wsp:rsid wsp:val=&quot;0056693D&quot;/&gt;&lt;wsp:rsid wsp:val=&quot;0057032E&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465F&quot;/&gt;&lt;wsp:rsid wsp:val=&quot;005765F4&quot;/&gt;&lt;wsp:rsid wsp:val=&quot;005771D3&quot;/&gt;&lt;wsp:rsid wsp:val=&quot;0057754D&quot;/&gt;&lt;wsp:rsid wsp:val=&quot;00582CFF&quot;/&gt;&lt;wsp:rsid wsp:val=&quot;005849FF&quot;/&gt;&lt;wsp:rsid wsp:val=&quot;00585903&quot;/&gt;&lt;wsp:rsid wsp:val=&quot;00585CC3&quot;/&gt;&lt;wsp:rsid wsp:val=&quot;00587189&quot;/&gt;&lt;wsp:rsid wsp:val=&quot;00587DE1&quot;/&gt;&lt;wsp:rsid wsp:val=&quot;0059060C&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4B91&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07A65&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178C1&quot;/&gt;&lt;wsp:rsid wsp:val=&quot;00620ECF&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819&quot;/&gt;&lt;wsp:rsid wsp:val=&quot;006429EB&quot;/&gt;&lt;wsp:rsid wsp:val=&quot;006432CC&quot;/&gt;&lt;wsp:rsid wsp:val=&quot;006438C1&quot;/&gt;&lt;wsp:rsid wsp:val=&quot;00644560&quot;/&gt;&lt;wsp:rsid wsp:val=&quot;00645134&quot;/&gt;&lt;wsp:rsid wsp:val=&quot;00645247&quot;/&gt;&lt;wsp:rsid wsp:val=&quot;00645CFD&quot;/&gt;&lt;wsp:rsid wsp:val=&quot;00645E6A&quot;/&gt;&lt;wsp:rsid wsp:val=&quot;0065074B&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5342&quot;/&gt;&lt;wsp:rsid wsp:val=&quot;0067658D&quot;/&gt;&lt;wsp:rsid wsp:val=&quot;00677CF1&quot;/&gt;&lt;wsp:rsid wsp:val=&quot;00677E9F&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96847&quot;/&gt;&lt;wsp:rsid wsp:val=&quot;006A255C&quot;/&gt;&lt;wsp:rsid wsp:val=&quot;006A2899&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16AE&quot;/&gt;&lt;wsp:rsid wsp:val=&quot;006C274B&quot;/&gt;&lt;wsp:rsid wsp:val=&quot;006C3F49&quot;/&gt;&lt;wsp:rsid wsp:val=&quot;006C50EE&quot;/&gt;&lt;wsp:rsid wsp:val=&quot;006C6AE2&quot;/&gt;&lt;wsp:rsid wsp:val=&quot;006C7A4B&quot;/&gt;&lt;wsp:rsid wsp:val=&quot;006D130D&quot;/&gt;&lt;wsp:rsid wsp:val=&quot;006D20DA&quot;/&gt;&lt;wsp:rsid wsp:val=&quot;006D3165&quot;/&gt;&lt;wsp:rsid wsp:val=&quot;006D7A0E&quot;/&gt;&lt;wsp:rsid wsp:val=&quot;006E1596&quot;/&gt;&lt;wsp:rsid wsp:val=&quot;006E1FF3&quot;/&gt;&lt;wsp:rsid wsp:val=&quot;006E29B9&quot;/&gt;&lt;wsp:rsid wsp:val=&quot;006E407E&quot;/&gt;&lt;wsp:rsid wsp:val=&quot;006E5673&quot;/&gt;&lt;wsp:rsid wsp:val=&quot;006E66DD&quot;/&gt;&lt;wsp:rsid wsp:val=&quot;006F0FB8&quot;/&gt;&lt;wsp:rsid wsp:val=&quot;006F135C&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15F0C&quot;/&gt;&lt;wsp:rsid wsp:val=&quot;007203C8&quot;/&gt;&lt;wsp:rsid wsp:val=&quot;00720496&quot;/&gt;&lt;wsp:rsid wsp:val=&quot;00721545&quot;/&gt;&lt;wsp:rsid wsp:val=&quot;0072164E&quot;/&gt;&lt;wsp:rsid wsp:val=&quot;00721704&quot;/&gt;&lt;wsp:rsid wsp:val=&quot;00722A0A&quot;/&gt;&lt;wsp:rsid wsp:val=&quot;00722C89&quot;/&gt;&lt;wsp:rsid wsp:val=&quot;0072399E&quot;/&gt;&lt;wsp:rsid wsp:val=&quot;00724973&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1069&quot;/&gt;&lt;wsp:rsid wsp:val=&quot;007560EA&quot;/&gt;&lt;wsp:rsid wsp:val=&quot;00756874&quot;/&gt;&lt;wsp:rsid wsp:val=&quot;00757025&quot;/&gt;&lt;wsp:rsid wsp:val=&quot;0075736E&quot;/&gt;&lt;wsp:rsid wsp:val=&quot;00760E00&quot;/&gt;&lt;wsp:rsid wsp:val=&quot;00761570&quot;/&gt;&lt;wsp:rsid wsp:val=&quot;00762BCE&quot;/&gt;&lt;wsp:rsid wsp:val=&quot;00763C91&quot;/&gt;&lt;wsp:rsid wsp:val=&quot;00764B12&quot;/&gt;&lt;wsp:rsid wsp:val=&quot;0076799C&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371E&quot;/&gt;&lt;wsp:rsid wsp:val=&quot;00784592&quot;/&gt;&lt;wsp:rsid wsp:val=&quot;00784890&quot;/&gt;&lt;wsp:rsid wsp:val=&quot;00784BF2&quot;/&gt;&lt;wsp:rsid wsp:val=&quot;00785E7F&quot;/&gt;&lt;wsp:rsid wsp:val=&quot;007860DD&quot;/&gt;&lt;wsp:rsid wsp:val=&quot;0078634F&quot;/&gt;&lt;wsp:rsid wsp:val=&quot;007864FE&quot;/&gt;&lt;wsp:rsid wsp:val=&quot;00787317&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4543&quot;/&gt;&lt;wsp:rsid wsp:val=&quot;007D6E7F&quot;/&gt;&lt;wsp:rsid wsp:val=&quot;007E116C&quot;/&gt;&lt;wsp:rsid wsp:val=&quot;007E3014&quot;/&gt;&lt;wsp:rsid wsp:val=&quot;007E4353&quot;/&gt;&lt;wsp:rsid wsp:val=&quot;007E53F6&quot;/&gt;&lt;wsp:rsid wsp:val=&quot;007E5906&quot;/&gt;&lt;wsp:rsid wsp:val=&quot;007E5EE9&quot;/&gt;&lt;wsp:rsid wsp:val=&quot;007E7061&quot;/&gt;&lt;wsp:rsid wsp:val=&quot;007E79BE&quot;/&gt;&lt;wsp:rsid wsp:val=&quot;007E7FCB&quot;/&gt;&lt;wsp:rsid wsp:val=&quot;007F21CD&quot;/&gt;&lt;wsp:rsid wsp:val=&quot;007F2445&quot;/&gt;&lt;wsp:rsid wsp:val=&quot;007F316D&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1446D&quot;/&gt;&lt;wsp:rsid wsp:val=&quot;00814699&quot;/&gt;&lt;wsp:rsid wsp:val=&quot;00817743&quot;/&gt;&lt;wsp:rsid wsp:val=&quot;00821556&quot;/&gt;&lt;wsp:rsid wsp:val=&quot;00821F2C&quot;/&gt;&lt;wsp:rsid wsp:val=&quot;008220C7&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1E28&quot;/&gt;&lt;wsp:rsid wsp:val=&quot;00842BFB&quot;/&gt;&lt;wsp:rsid wsp:val=&quot;00847786&quot;/&gt;&lt;wsp:rsid wsp:val=&quot;0085048F&quot;/&gt;&lt;wsp:rsid wsp:val=&quot;00853901&quot;/&gt;&lt;wsp:rsid wsp:val=&quot;00853E28&quot;/&gt;&lt;wsp:rsid wsp:val=&quot;008543CB&quot;/&gt;&lt;wsp:rsid wsp:val=&quot;00854556&quot;/&gt;&lt;wsp:rsid wsp:val=&quot;00854AFF&quot;/&gt;&lt;wsp:rsid wsp:val=&quot;00855E7E&quot;/&gt;&lt;wsp:rsid wsp:val=&quot;0085677D&quot;/&gt;&lt;wsp:rsid wsp:val=&quot;008609BD&quot;/&gt;&lt;wsp:rsid wsp:val=&quot;0086247A&quot;/&gt;&lt;wsp:rsid wsp:val=&quot;008626F6&quot;/&gt;&lt;wsp:rsid wsp:val=&quot;00864E0E&quot;/&gt;&lt;wsp:rsid wsp:val=&quot;008677F8&quot;/&gt;&lt;wsp:rsid wsp:val=&quot;00867EC2&quot;/&gt;&lt;wsp:rsid wsp:val=&quot;00870E43&quot;/&gt;&lt;wsp:rsid wsp:val=&quot;008723F6&quot;/&gt;&lt;wsp:rsid wsp:val=&quot;0087282C&quot;/&gt;&lt;wsp:rsid wsp:val=&quot;00872B47&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1B8E&quot;/&gt;&lt;wsp:rsid wsp:val=&quot;00882022&quot;/&gt;&lt;wsp:rsid wsp:val=&quot;008844F1&quot;/&gt;&lt;wsp:rsid wsp:val=&quot;00884ADD&quot;/&gt;&lt;wsp:rsid wsp:val=&quot;0088611D&quot;/&gt;&lt;wsp:rsid wsp:val=&quot;00886256&quot;/&gt;&lt;wsp:rsid wsp:val=&quot;00890A01&quot;/&gt;&lt;wsp:rsid wsp:val=&quot;00891CC4&quot;/&gt;&lt;wsp:rsid wsp:val=&quot;00896910&quot;/&gt;&lt;wsp:rsid wsp:val=&quot;00896BCB&quot;/&gt;&lt;wsp:rsid wsp:val=&quot;0089715E&quot;/&gt;&lt;wsp:rsid wsp:val=&quot;00897954&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362C&quot;/&gt;&lt;wsp:rsid wsp:val=&quot;00904C0E&quot;/&gt;&lt;wsp:rsid wsp:val=&quot;0090517A&quot;/&gt;&lt;wsp:rsid wsp:val=&quot;0090650B&quot;/&gt;&lt;wsp:rsid wsp:val=&quot;009075A4&quot;/&gt;&lt;wsp:rsid wsp:val=&quot;00907C38&quot;/&gt;&lt;wsp:rsid wsp:val=&quot;00910330&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5F67&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5&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0BA&quot;/&gt;&lt;wsp:rsid wsp:val=&quot;00952BD8&quot;/&gt;&lt;wsp:rsid wsp:val=&quot;00953883&quot;/&gt;&lt;wsp:rsid wsp:val=&quot;00953FB6&quot;/&gt;&lt;wsp:rsid wsp:val=&quot;00954DFA&quot;/&gt;&lt;wsp:rsid wsp:val=&quot;00954ED7&quot;/&gt;&lt;wsp:rsid wsp:val=&quot;009559A2&quot;/&gt;&lt;wsp:rsid wsp:val=&quot;009571B9&quot;/&gt;&lt;wsp:rsid wsp:val=&quot;00957FBE&quot;/&gt;&lt;wsp:rsid wsp:val=&quot;00960060&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1E03&quot;/&gt;&lt;wsp:rsid wsp:val=&quot;00973F28&quot;/&gt;&lt;wsp:rsid wsp:val=&quot;00973FA2&quot;/&gt;&lt;wsp:rsid wsp:val=&quot;00974866&quot;/&gt;&lt;wsp:rsid wsp:val=&quot;009762CD&quot;/&gt;&lt;wsp:rsid wsp:val=&quot;00980491&quot;/&gt;&lt;wsp:rsid wsp:val=&quot;009808F5&quot;/&gt;&lt;wsp:rsid wsp:val=&quot;00981D9F&quot;/&gt;&lt;wsp:rsid wsp:val=&quot;00982DA0&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1F5E&quot;/&gt;&lt;wsp:rsid wsp:val=&quot;009D25E3&quot;/&gt;&lt;wsp:rsid wsp:val=&quot;009D49BC&quot;/&gt;&lt;wsp:rsid wsp:val=&quot;009D6963&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1151&quot;/&gt;&lt;wsp:rsid wsp:val=&quot;009F46E3&quot;/&gt;&lt;wsp:rsid wsp:val=&quot;009F4830&quot;/&gt;&lt;wsp:rsid wsp:val=&quot;009F69FB&quot;/&gt;&lt;wsp:rsid wsp:val=&quot;00A0110D&quot;/&gt;&lt;wsp:rsid wsp:val=&quot;00A04FA4&quot;/&gt;&lt;wsp:rsid wsp:val=&quot;00A07D2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2CC3&quot;/&gt;&lt;wsp:rsid wsp:val=&quot;00A63863&quot;/&gt;&lt;wsp:rsid wsp:val=&quot;00A64301&quot;/&gt;&lt;wsp:rsid wsp:val=&quot;00A667FD&quot;/&gt;&lt;wsp:rsid wsp:val=&quot;00A71167&quot;/&gt;&lt;wsp:rsid wsp:val=&quot;00A71D04&quot;/&gt;&lt;wsp:rsid wsp:val=&quot;00A72D98&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1ED3&quot;/&gt;&lt;wsp:rsid wsp:val=&quot;00A924D1&quot;/&gt;&lt;wsp:rsid wsp:val=&quot;00A95126&quot;/&gt;&lt;wsp:rsid wsp:val=&quot;00A9661B&quot;/&gt;&lt;wsp:rsid wsp:val=&quot;00AA09D7&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6A75&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1FD&quot;/&gt;&lt;wsp:rsid wsp:val=&quot;00B027F4&quot;/&gt;&lt;wsp:rsid wsp:val=&quot;00B02CFA&quot;/&gt;&lt;wsp:rsid wsp:val=&quot;00B04276&quot;/&gt;&lt;wsp:rsid wsp:val=&quot;00B042C3&quot;/&gt;&lt;wsp:rsid wsp:val=&quot;00B047FB&quot;/&gt;&lt;wsp:rsid wsp:val=&quot;00B057B7&quot;/&gt;&lt;wsp:rsid wsp:val=&quot;00B13627&quot;/&gt;&lt;wsp:rsid wsp:val=&quot;00B13801&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36AC4&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2BC&quot;/&gt;&lt;wsp:rsid wsp:val=&quot;00B51372&quot;/&gt;&lt;wsp:rsid wsp:val=&quot;00B51987&quot;/&gt;&lt;wsp:rsid wsp:val=&quot;00B519BD&quot;/&gt;&lt;wsp:rsid wsp:val=&quot;00B52708&quot;/&gt;&lt;wsp:rsid wsp:val=&quot;00B529BC&quot;/&gt;&lt;wsp:rsid wsp:val=&quot;00B52B32&quot;/&gt;&lt;wsp:rsid wsp:val=&quot;00B54F4D&quot;/&gt;&lt;wsp:rsid wsp:val=&quot;00B55528&quot;/&gt;&lt;wsp:rsid wsp:val=&quot;00B55621&quot;/&gt;&lt;wsp:rsid wsp:val=&quot;00B55DB1&quot;/&gt;&lt;wsp:rsid wsp:val=&quot;00B56F1C&quot;/&gt;&lt;wsp:rsid wsp:val=&quot;00B601DC&quot;/&gt;&lt;wsp:rsid wsp:val=&quot;00B616D7&quot;/&gt;&lt;wsp:rsid wsp:val=&quot;00B631FD&quot;/&gt;&lt;wsp:rsid wsp:val=&quot;00B63624&quot;/&gt;&lt;wsp:rsid wsp:val=&quot;00B639F2&quot;/&gt;&lt;wsp:rsid wsp:val=&quot;00B640E8&quot;/&gt;&lt;wsp:rsid wsp:val=&quot;00B65473&quot;/&gt;&lt;wsp:rsid wsp:val=&quot;00B66FDF&quot;/&gt;&lt;wsp:rsid wsp:val=&quot;00B70F7C&quot;/&gt;&lt;wsp:rsid wsp:val=&quot;00B7219D&quot;/&gt;&lt;wsp:rsid wsp:val=&quot;00B727C9&quot;/&gt;&lt;wsp:rsid wsp:val=&quot;00B74008&quot;/&gt;&lt;wsp:rsid wsp:val=&quot;00B747D3&quot;/&gt;&lt;wsp:rsid wsp:val=&quot;00B75DE1&quot;/&gt;&lt;wsp:rsid wsp:val=&quot;00B80F17&quot;/&gt;&lt;wsp:rsid wsp:val=&quot;00B86333&quot;/&gt;&lt;wsp:rsid wsp:val=&quot;00B906C7&quot;/&gt;&lt;wsp:rsid wsp:val=&quot;00B94A19&quot;/&gt;&lt;wsp:rsid wsp:val=&quot;00B964BE&quot;/&gt;&lt;wsp:rsid wsp:val=&quot;00B976A8&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41E0&quot;/&gt;&lt;wsp:rsid wsp:val=&quot;00BB52CF&quot;/&gt;&lt;wsp:rsid wsp:val=&quot;00BB5369&quot;/&gt;&lt;wsp:rsid wsp:val=&quot;00BB56DE&quot;/&gt;&lt;wsp:rsid wsp:val=&quot;00BC0B79&quot;/&gt;&lt;wsp:rsid wsp:val=&quot;00BC0C1F&quot;/&gt;&lt;wsp:rsid wsp:val=&quot;00BC2941&quot;/&gt;&lt;wsp:rsid wsp:val=&quot;00BC29C2&quot;/&gt;&lt;wsp:rsid wsp:val=&quot;00BC370E&quot;/&gt;&lt;wsp:rsid wsp:val=&quot;00BC3D43&quot;/&gt;&lt;wsp:rsid wsp:val=&quot;00BC7386&quot;/&gt;&lt;wsp:rsid wsp:val=&quot;00BC75B5&quot;/&gt;&lt;wsp:rsid wsp:val=&quot;00BD10D2&quot;/&gt;&lt;wsp:rsid wsp:val=&quot;00BD114B&quot;/&gt;&lt;wsp:rsid wsp:val=&quot;00BD4762&quot;/&gt;&lt;wsp:rsid wsp:val=&quot;00BD491D&quot;/&gt;&lt;wsp:rsid wsp:val=&quot;00BD4FA9&quot;/&gt;&lt;wsp:rsid wsp:val=&quot;00BD5E6D&quot;/&gt;&lt;wsp:rsid wsp:val=&quot;00BD604C&quot;/&gt;&lt;wsp:rsid wsp:val=&quot;00BE3B07&quot;/&gt;&lt;wsp:rsid wsp:val=&quot;00BE6024&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02E&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2F22&quot;/&gt;&lt;wsp:rsid wsp:val=&quot;00C26E62&quot;/&gt;&lt;wsp:rsid wsp:val=&quot;00C2739B&quot;/&gt;&lt;wsp:rsid wsp:val=&quot;00C30853&quot;/&gt;&lt;wsp:rsid wsp:val=&quot;00C31265&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8D3&quot;/&gt;&lt;wsp:rsid wsp:val=&quot;00C55F50&quot;/&gt;&lt;wsp:rsid wsp:val=&quot;00C569AB&quot;/&gt;&lt;wsp:rsid wsp:val=&quot;00C569CC&quot;/&gt;&lt;wsp:rsid wsp:val=&quot;00C57ACC&quot;/&gt;&lt;wsp:rsid wsp:val=&quot;00C62130&quot;/&gt;&lt;wsp:rsid wsp:val=&quot;00C6529A&quot;/&gt;&lt;wsp:rsid wsp:val=&quot;00C70079&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16CA&quot;/&gt;&lt;wsp:rsid wsp:val=&quot;00C84ACC&quot;/&gt;&lt;wsp:rsid wsp:val=&quot;00C84B47&quot;/&gt;&lt;wsp:rsid wsp:val=&quot;00C85321&quot;/&gt;&lt;wsp:rsid wsp:val=&quot;00C86B16&quot;/&gt;&lt;wsp:rsid wsp:val=&quot;00C878E9&quot;/&gt;&lt;wsp:rsid wsp:val=&quot;00C91D1C&quot;/&gt;&lt;wsp:rsid wsp:val=&quot;00C941C9&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D7CC4&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8B1&quot;/&gt;&lt;wsp:rsid wsp:val=&quot;00D16974&quot;/&gt;&lt;wsp:rsid wsp:val=&quot;00D20BAF&quot;/&gt;&lt;wsp:rsid wsp:val=&quot;00D20F88&quot;/&gt;&lt;wsp:rsid wsp:val=&quot;00D21238&quot;/&gt;&lt;wsp:rsid wsp:val=&quot;00D21BF2&quot;/&gt;&lt;wsp:rsid wsp:val=&quot;00D24512&quot;/&gt;&lt;wsp:rsid wsp:val=&quot;00D25D15&quot;/&gt;&lt;wsp:rsid wsp:val=&quot;00D26D98&quot;/&gt;&lt;wsp:rsid wsp:val=&quot;00D3374A&quot;/&gt;&lt;wsp:rsid wsp:val=&quot;00D34E06&quot;/&gt;&lt;wsp:rsid wsp:val=&quot;00D3600E&quot;/&gt;&lt;wsp:rsid wsp:val=&quot;00D4033B&quot;/&gt;&lt;wsp:rsid wsp:val=&quot;00D40A92&quot;/&gt;&lt;wsp:rsid wsp:val=&quot;00D4230C&quot;/&gt;&lt;wsp:rsid wsp:val=&quot;00D4263C&quot;/&gt;&lt;wsp:rsid wsp:val=&quot;00D43594&quot;/&gt;&lt;wsp:rsid wsp:val=&quot;00D43CBF&quot;/&gt;&lt;wsp:rsid wsp:val=&quot;00D44D53&quot;/&gt;&lt;wsp:rsid wsp:val=&quot;00D464A2&quot;/&gt;&lt;wsp:rsid wsp:val=&quot;00D506D0&quot;/&gt;&lt;wsp:rsid wsp:val=&quot;00D50E15&quot;/&gt;&lt;wsp:rsid wsp:val=&quot;00D51795&quot;/&gt;&lt;wsp:rsid wsp:val=&quot;00D52A83&quot;/&gt;&lt;wsp:rsid wsp:val=&quot;00D5616D&quot;/&gt;&lt;wsp:rsid wsp:val=&quot;00D5711F&quot;/&gt;&lt;wsp:rsid wsp:val=&quot;00D6167F&quot;/&gt;&lt;wsp:rsid wsp:val=&quot;00D616F1&quot;/&gt;&lt;wsp:rsid wsp:val=&quot;00D63474&quot;/&gt;&lt;wsp:rsid wsp:val=&quot;00D63714&quot;/&gt;&lt;wsp:rsid wsp:val=&quot;00D6383D&quot;/&gt;&lt;wsp:rsid wsp:val=&quot;00D63AFC&quot;/&gt;&lt;wsp:rsid wsp:val=&quot;00D64B68&quot;/&gt;&lt;wsp:rsid wsp:val=&quot;00D66373&quot;/&gt;&lt;wsp:rsid wsp:val=&quot;00D66C53&quot;/&gt;&lt;wsp:rsid wsp:val=&quot;00D6781B&quot;/&gt;&lt;wsp:rsid wsp:val=&quot;00D67BE8&quot;/&gt;&lt;wsp:rsid wsp:val=&quot;00D701C3&quot;/&gt;&lt;wsp:rsid wsp:val=&quot;00D72213&quot;/&gt;&lt;wsp:rsid wsp:val=&quot;00D76391&quot;/&gt;&lt;wsp:rsid wsp:val=&quot;00D76736&quot;/&gt;&lt;wsp:rsid wsp:val=&quot;00D81D6F&quot;/&gt;&lt;wsp:rsid wsp:val=&quot;00D8292D&quot;/&gt;&lt;wsp:rsid wsp:val=&quot;00D82F01&quot;/&gt;&lt;wsp:rsid wsp:val=&quot;00D82F8E&quot;/&gt;&lt;wsp:rsid wsp:val=&quot;00D85299&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686F&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03FD&quot;/&gt;&lt;wsp:rsid wsp:val=&quot;00DB156D&quot;/&gt;&lt;wsp:rsid wsp:val=&quot;00DB17FD&quot;/&gt;&lt;wsp:rsid wsp:val=&quot;00DB25C9&quot;/&gt;&lt;wsp:rsid wsp:val=&quot;00DB2887&quot;/&gt;&lt;wsp:rsid wsp:val=&quot;00DB3AC5&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0B43&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3C9&quot;/&gt;&lt;wsp:rsid wsp:val=&quot;00DE144D&quot;/&gt;&lt;wsp:rsid wsp:val=&quot;00DE15ED&quot;/&gt;&lt;wsp:rsid wsp:val=&quot;00DE1739&quot;/&gt;&lt;wsp:rsid wsp:val=&quot;00DE6C95&quot;/&gt;&lt;wsp:rsid wsp:val=&quot;00DF0111&quot;/&gt;&lt;wsp:rsid wsp:val=&quot;00DF5416&quot;/&gt;&lt;wsp:rsid wsp:val=&quot;00E00053&quot;/&gt;&lt;wsp:rsid wsp:val=&quot;00E00BB2&quot;/&gt;&lt;wsp:rsid wsp:val=&quot;00E021E5&quot;/&gt;&lt;wsp:rsid wsp:val=&quot;00E02359&quot;/&gt;&lt;wsp:rsid wsp:val=&quot;00E03022&quot;/&gt;&lt;wsp:rsid wsp:val=&quot;00E04707&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1FD9&quot;/&gt;&lt;wsp:rsid wsp:val=&quot;00E22104&quot;/&gt;&lt;wsp:rsid wsp:val=&quot;00E24A3F&quot;/&gt;&lt;wsp:rsid wsp:val=&quot;00E25D1D&quot;/&gt;&lt;wsp:rsid wsp:val=&quot;00E2627F&quot;/&gt;&lt;wsp:rsid wsp:val=&quot;00E26964&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483&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A5&quot;/&gt;&lt;wsp:rsid wsp:val=&quot;00E730D0&quot;/&gt;&lt;wsp:rsid wsp:val=&quot;00E74753&quot;/&gt;&lt;wsp:rsid wsp:val=&quot;00E7512C&quot;/&gt;&lt;wsp:rsid wsp:val=&quot;00E75737&quot;/&gt;&lt;wsp:rsid wsp:val=&quot;00E75E82&quot;/&gt;&lt;wsp:rsid wsp:val=&quot;00E7769E&quot;/&gt;&lt;wsp:rsid wsp:val=&quot;00E81458&quot;/&gt;&lt;wsp:rsid wsp:val=&quot;00E8276B&quot;/&gt;&lt;wsp:rsid wsp:val=&quot;00E828C3&quot;/&gt;&lt;wsp:rsid wsp:val=&quot;00E83543&quot;/&gt;&lt;wsp:rsid wsp:val=&quot;00E83CC5&quot;/&gt;&lt;wsp:rsid wsp:val=&quot;00E840A5&quot;/&gt;&lt;wsp:rsid wsp:val=&quot;00E85A53&quot;/&gt;&lt;wsp:rsid wsp:val=&quot;00E87AB9&quot;/&gt;&lt;wsp:rsid wsp:val=&quot;00E90CED&quot;/&gt;&lt;wsp:rsid wsp:val=&quot;00E91816&quot;/&gt;&lt;wsp:rsid wsp:val=&quot;00E94D93&quot;/&gt;&lt;wsp:rsid wsp:val=&quot;00E95A5C&quot;/&gt;&lt;wsp:rsid wsp:val=&quot;00E95F0A&quot;/&gt;&lt;wsp:rsid wsp:val=&quot;00E968DC&quot;/&gt;&lt;wsp:rsid wsp:val=&quot;00E97987&quot;/&gt;&lt;wsp:rsid wsp:val=&quot;00EA0D4F&quot;/&gt;&lt;wsp:rsid wsp:val=&quot;00EA1EF6&quot;/&gt;&lt;wsp:rsid wsp:val=&quot;00EA20AC&quot;/&gt;&lt;wsp:rsid wsp:val=&quot;00EA21B3&quot;/&gt;&lt;wsp:rsid wsp:val=&quot;00EA235C&quot;/&gt;&lt;wsp:rsid wsp:val=&quot;00EA3085&quot;/&gt;&lt;wsp:rsid wsp:val=&quot;00EA78CB&quot;/&gt;&lt;wsp:rsid wsp:val=&quot;00EA7990&quot;/&gt;&lt;wsp:rsid wsp:val=&quot;00EB0E0F&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B17&quot;/&gt;&lt;wsp:rsid wsp:val=&quot;00EE1DB6&quot;/&gt;&lt;wsp:rsid wsp:val=&quot;00EE5BF5&quot;/&gt;&lt;wsp:rsid wsp:val=&quot;00EE700F&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771&quot;/&gt;&lt;wsp:rsid wsp:val=&quot;00F00BDB&quot;/&gt;&lt;wsp:rsid wsp:val=&quot;00F053A6&quot;/&gt;&lt;wsp:rsid wsp:val=&quot;00F07602&quot;/&gt;&lt;wsp:rsid wsp:val=&quot;00F07B8D&quot;/&gt;&lt;wsp:rsid wsp:val=&quot;00F07D58&quot;/&gt;&lt;wsp:rsid wsp:val=&quot;00F1076C&quot;/&gt;&lt;wsp:rsid wsp:val=&quot;00F10F06&quot;/&gt;&lt;wsp:rsid wsp:val=&quot;00F1304F&quot;/&gt;&lt;wsp:rsid wsp:val=&quot;00F13A18&quot;/&gt;&lt;wsp:rsid wsp:val=&quot;00F1518F&quot;/&gt;&lt;wsp:rsid wsp:val=&quot;00F15389&quot;/&gt;&lt;wsp:rsid wsp:val=&quot;00F1599E&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286F&quot;/&gt;&lt;wsp:rsid wsp:val=&quot;00F33DA4&quot;/&gt;&lt;wsp:rsid wsp:val=&quot;00F3493A&quot;/&gt;&lt;wsp:rsid wsp:val=&quot;00F353C6&quot;/&gt;&lt;wsp:rsid wsp:val=&quot;00F36949&quot;/&gt;&lt;wsp:rsid wsp:val=&quot;00F36C74&quot;/&gt;&lt;wsp:rsid wsp:val=&quot;00F37644&quot;/&gt;&lt;wsp:rsid wsp:val=&quot;00F44456&quot;/&gt;&lt;wsp:rsid wsp:val=&quot;00F44AAD&quot;/&gt;&lt;wsp:rsid wsp:val=&quot;00F44ADB&quot;/&gt;&lt;wsp:rsid wsp:val=&quot;00F45D8C&quot;/&gt;&lt;wsp:rsid wsp:val=&quot;00F460E7&quot;/&gt;&lt;wsp:rsid wsp:val=&quot;00F5134E&quot;/&gt;&lt;wsp:rsid wsp:val=&quot;00F52B54&quot;/&gt;&lt;wsp:rsid wsp:val=&quot;00F541CD&quot;/&gt;&lt;wsp:rsid wsp:val=&quot;00F609A6&quot;/&gt;&lt;wsp:rsid wsp:val=&quot;00F61405&quot;/&gt;&lt;wsp:rsid wsp:val=&quot;00F61573&quot;/&gt;&lt;wsp:rsid wsp:val=&quot;00F632C7&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4E42&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3D51&quot;/&gt;&lt;wsp:rsid wsp:val=&quot;00FA4646&quot;/&gt;&lt;wsp:rsid wsp:val=&quot;00FA6DD9&quot;/&gt;&lt;wsp:rsid wsp:val=&quot;00FA7C6E&quot;/&gt;&lt;wsp:rsid wsp:val=&quot;00FB02B8&quot;/&gt;&lt;wsp:rsid wsp:val=&quot;00FB0F0E&quot;/&gt;&lt;wsp:rsid wsp:val=&quot;00FB1E36&quot;/&gt;&lt;wsp:rsid wsp:val=&quot;00FB3721&quot;/&gt;&lt;wsp:rsid wsp:val=&quot;00FC0112&quot;/&gt;&lt;wsp:rsid wsp:val=&quot;00FC2435&quot;/&gt;&lt;wsp:rsid wsp:val=&quot;00FC2853&quot;/&gt;&lt;wsp:rsid wsp:val=&quot;00FC2A3B&quot;/&gt;&lt;wsp:rsid wsp:val=&quot;00FC56EC&quot;/&gt;&lt;wsp:rsid wsp:val=&quot;00FC5F97&quot;/&gt;&lt;wsp:rsid wsp:val=&quot;00FC5FCE&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 wsp:val=&quot;01913EE5&quot;/&gt;&lt;wsp:rsid wsp:val=&quot;028F592D&quot;/&gt;&lt;wsp:rsid wsp:val=&quot;03442226&quot;/&gt;&lt;wsp:rsid wsp:val=&quot;03653EFA&quot;/&gt;&lt;wsp:rsid wsp:val=&quot;041A1B6C&quot;/&gt;&lt;wsp:rsid wsp:val=&quot;05076F73&quot;/&gt;&lt;wsp:rsid wsp:val=&quot;069D413E&quot;/&gt;&lt;wsp:rsid wsp:val=&quot;0AED07E6&quot;/&gt;&lt;wsp:rsid wsp:val=&quot;0C5000D6&quot;/&gt;&lt;wsp:rsid wsp:val=&quot;0D5027DF&quot;/&gt;&lt;wsp:rsid wsp:val=&quot;0DAA3665&quot;/&gt;&lt;wsp:rsid wsp:val=&quot;0F522479&quot;/&gt;&lt;wsp:rsid wsp:val=&quot;0F964C30&quot;/&gt;&lt;wsp:rsid wsp:val=&quot;10954101&quot;/&gt;&lt;wsp:rsid wsp:val=&quot;129670E6&quot;/&gt;&lt;wsp:rsid wsp:val=&quot;13535C1D&quot;/&gt;&lt;wsp:rsid wsp:val=&quot;13B00235&quot;/&gt;&lt;wsp:rsid wsp:val=&quot;142D3110&quot;/&gt;&lt;wsp:rsid wsp:val=&quot;147D7105&quot;/&gt;&lt;wsp:rsid wsp:val=&quot;15505755&quot;/&gt;&lt;wsp:rsid wsp:val=&quot;162D6DFB&quot;/&gt;&lt;wsp:rsid wsp:val=&quot;16A6727C&quot;/&gt;&lt;wsp:rsid wsp:val=&quot;176F31FD&quot;/&gt;&lt;wsp:rsid wsp:val=&quot;1AE579CF&quot;/&gt;&lt;wsp:rsid wsp:val=&quot;1B7B1F7C&quot;/&gt;&lt;wsp:rsid wsp:val=&quot;1BDF4200&quot;/&gt;&lt;wsp:rsid wsp:val=&quot;1C461BF2&quot;/&gt;&lt;wsp:rsid wsp:val=&quot;1CBE498C&quot;/&gt;&lt;wsp:rsid wsp:val=&quot;1F633C25&quot;/&gt;&lt;wsp:rsid wsp:val=&quot;1FE525D4&quot;/&gt;&lt;wsp:rsid wsp:val=&quot;21962554&quot;/&gt;&lt;wsp:rsid wsp:val=&quot;21AB295D&quot;/&gt;&lt;wsp:rsid wsp:val=&quot;21E62F9A&quot;/&gt;&lt;wsp:rsid wsp:val=&quot;23FC2058&quot;/&gt;&lt;wsp:rsid wsp:val=&quot;24083460&quot;/&gt;&lt;wsp:rsid wsp:val=&quot;240C1A97&quot;/&gt;&lt;wsp:rsid wsp:val=&quot;24402A29&quot;/&gt;&lt;wsp:rsid wsp:val=&quot;24EF1192&quot;/&gt;&lt;wsp:rsid wsp:val=&quot;26B54D1B&quot;/&gt;&lt;wsp:rsid wsp:val=&quot;27504F53&quot;/&gt;&lt;wsp:rsid wsp:val=&quot;27EC0D41&quot;/&gt;&lt;wsp:rsid wsp:val=&quot;288C7A13&quot;/&gt;&lt;wsp:rsid wsp:val=&quot;29280A4A&quot;/&gt;&lt;wsp:rsid wsp:val=&quot;2A242902&quot;/&gt;&lt;wsp:rsid wsp:val=&quot;2B0F5A52&quot;/&gt;&lt;wsp:rsid wsp:val=&quot;2BA210C8&quot;/&gt;&lt;wsp:rsid wsp:val=&quot;2C322210&quot;/&gt;&lt;wsp:rsid wsp:val=&quot;2C880EAC&quot;/&gt;&lt;wsp:rsid wsp:val=&quot;2D0B45D8&quot;/&gt;&lt;wsp:rsid wsp:val=&quot;2D7A5F58&quot;/&gt;&lt;wsp:rsid wsp:val=&quot;2DE5090C&quot;/&gt;&lt;wsp:rsid wsp:val=&quot;2F245151&quot;/&gt;&lt;wsp:rsid wsp:val=&quot;2F9C50D7&quot;/&gt;&lt;wsp:rsid wsp:val=&quot;31CE7C91&quot;/&gt;&lt;wsp:rsid wsp:val=&quot;3337290D&quot;/&gt;&lt;wsp:rsid wsp:val=&quot;36284D13&quot;/&gt;&lt;wsp:rsid wsp:val=&quot;3894435E&quot;/&gt;&lt;wsp:rsid wsp:val=&quot;39093C9F&quot;/&gt;&lt;wsp:rsid wsp:val=&quot;3A3141FD&quot;/&gt;&lt;wsp:rsid wsp:val=&quot;3A4F2B98&quot;/&gt;&lt;wsp:rsid wsp:val=&quot;3ADB3587&quot;/&gt;&lt;wsp:rsid wsp:val=&quot;3B7A0243&quot;/&gt;&lt;wsp:rsid wsp:val=&quot;3D3B012F&quot;/&gt;&lt;wsp:rsid wsp:val=&quot;3F946430&quot;/&gt;&lt;wsp:rsid wsp:val=&quot;414D6E8F&quot;/&gt;&lt;wsp:rsid wsp:val=&quot;44C457EC&quot;/&gt;&lt;wsp:rsid wsp:val=&quot;453D5151&quot;/&gt;&lt;wsp:rsid wsp:val=&quot;46087ED9&quot;/&gt;&lt;wsp:rsid wsp:val=&quot;464F3E74&quot;/&gt;&lt;wsp:rsid wsp:val=&quot;47B7007B&quot;/&gt;&lt;wsp:rsid wsp:val=&quot;4AF34469&quot;/&gt;&lt;wsp:rsid wsp:val=&quot;4DC67269&quot;/&gt;&lt;wsp:rsid wsp:val=&quot;4EB12B06&quot;/&gt;&lt;wsp:rsid wsp:val=&quot;500669FA&quot;/&gt;&lt;wsp:rsid wsp:val=&quot;50780669&quot;/&gt;&lt;wsp:rsid wsp:val=&quot;510F2B1C&quot;/&gt;&lt;wsp:rsid wsp:val=&quot;531F30EF&quot;/&gt;&lt;wsp:rsid wsp:val=&quot;53FC68EC&quot;/&gt;&lt;wsp:rsid wsp:val=&quot;55C31C18&quot;/&gt;&lt;wsp:rsid wsp:val=&quot;563802EA&quot;/&gt;&lt;wsp:rsid wsp:val=&quot;56DC4230&quot;/&gt;&lt;wsp:rsid wsp:val=&quot;57504909&quot;/&gt;&lt;wsp:rsid wsp:val=&quot;583E2C99&quot;/&gt;&lt;wsp:rsid wsp:val=&quot;59801151&quot;/&gt;&lt;wsp:rsid wsp:val=&quot;5DF259C4&quot;/&gt;&lt;wsp:rsid wsp:val=&quot;60B62CF0&quot;/&gt;&lt;wsp:rsid wsp:val=&quot;64894531&quot;/&gt;&lt;wsp:rsid wsp:val=&quot;65185966&quot;/&gt;&lt;wsp:rsid wsp:val=&quot;651B6D5B&quot;/&gt;&lt;wsp:rsid wsp:val=&quot;655E3BFF&quot;/&gt;&lt;wsp:rsid wsp:val=&quot;65D861FB&quot;/&gt;&lt;wsp:rsid wsp:val=&quot;66874C3F&quot;/&gt;&lt;wsp:rsid wsp:val=&quot;66B83AD3&quot;/&gt;&lt;wsp:rsid wsp:val=&quot;67297020&quot;/&gt;&lt;wsp:rsid wsp:val=&quot;67C878B1&quot;/&gt;&lt;wsp:rsid wsp:val=&quot;68856D5A&quot;/&gt;&lt;wsp:rsid wsp:val=&quot;69E43F64&quot;/&gt;&lt;wsp:rsid wsp:val=&quot;6A4F07BF&quot;/&gt;&lt;wsp:rsid wsp:val=&quot;6AE00E93&quot;/&gt;&lt;wsp:rsid wsp:val=&quot;6B6272BA&quot;/&gt;&lt;wsp:rsid wsp:val=&quot;6D5814A1&quot;/&gt;&lt;wsp:rsid wsp:val=&quot;6EC31DA1&quot;/&gt;&lt;wsp:rsid wsp:val=&quot;6F0179C4&quot;/&gt;&lt;wsp:rsid wsp:val=&quot;71D35B1D&quot;/&gt;&lt;wsp:rsid wsp:val=&quot;73A2363E&quot;/&gt;&lt;wsp:rsid wsp:val=&quot;73BA76AB&quot;/&gt;&lt;wsp:rsid wsp:val=&quot;74864E1F&quot;/&gt;&lt;wsp:rsid wsp:val=&quot;75E507FE&quot;/&gt;&lt;wsp:rsid wsp:val=&quot;762A50E3&quot;/&gt;&lt;wsp:rsid wsp:val=&quot;76832D14&quot;/&gt;&lt;wsp:rsid wsp:val=&quot;770120C4&quot;/&gt;&lt;wsp:rsid wsp:val=&quot;792621D5&quot;/&gt;&lt;wsp:rsid wsp:val=&quot;79CF15E2&quot;/&gt;&lt;wsp:rsid wsp:val=&quot;7B1A1859&quot;/&gt;&lt;wsp:rsid wsp:val=&quot;7D934810&quot;/&gt;&lt;wsp:rsid wsp:val=&quot;7D98132E&quot;/&gt;&lt;wsp:rsid wsp:val=&quot;7DBB021F&quot;/&gt;&lt;wsp:rsid wsp:val=&quot;7E502455&quot;/&gt;&lt;wsp:rsid wsp:val=&quot;7E6B465F&quot;/&gt;&lt;wsp:rsid wsp:val=&quot;7FF4188E&quot;/&gt;&lt;/wsp:rsids&gt;&lt;/w:docPr&gt;&lt;w:body&gt;&lt;wx:sect&gt;&lt;w:p wsp:rsidR=&quot;00000000&quot; wsp:rsidRDefault=&quot;00F3493A&quot; wsp:rsidP=&quot;00F3493A&quot;&gt;&lt;m:oMathPara&gt;&lt;m:oMath&gt;&lt;m:r&gt;&lt;w:rPr&gt;&lt;w:rFonts w:ascii=&quot;Cambria Math&quot; w:h-ansi=&quot;Cambria Math&quot;/&gt;&lt;wx:font wx:val=&quot;Cambria Math&quot;/&gt;&lt;w:i/&gt;&lt;w:sz-cs w:val=&quot;20&quot;/&gt;&lt;w:lang w:fareast=&quot;KO&quot;/&gt;&lt;/w:rPr&gt;&lt;m:t&gt;m+3&lt;/m:t&gt;&lt;/m:r&gt;&lt;m:sSubSup&gt;&lt;m:sSubSupPr&gt;&lt;m:ctrlPr&gt;&lt;w:rPr&gt;&lt;w:rFonts w:ascii=&quot;Cambria Math&quot; w:h-ansi=&quot;Cambria Math&quot;/&gt;&lt;wx:font wx:val=&quot;Cambria Math&quot;/&gt;&lt;w:b-cs/&gt;&lt;w:i/&gt;&lt;w:sz-cs w:val=&quot;20&quot;/&gt;&lt;w:lang w:fareast=&quot;KO&quot;/&gt;&lt;/w:rPr&gt;&lt;/m:ctrlPr&gt;&lt;/m:sSubSupPr&gt;&lt;m:e&gt;&lt;m:r&gt;&lt;w:rPr&gt;&lt;w:rFonts w:ascii=&quot;Cambria Math&quot; w:h-ansi=&quot;Cambria Math&quot;/&gt;&lt;wx:font wx:val=&quot;Cambria Math&quot;/&gt;&lt;w:i/&gt;&lt;w:sz-cs w:val=&quot;20&quot;/&gt;&lt;w:lang w:fareast=&quot;KO&quot;/&gt;&lt;/w:rPr&gt;&lt;m:t&gt;N&lt;/m:t&gt;&lt;/m:r&gt;&lt;/m:e&gt;&lt;m:sub&gt;&lt;m:r&gt;&lt;m:rPr&gt;&lt;m:nor/&gt;&lt;/m:rPr&gt;&lt;w:rPr&gt;&lt;w:rFonts w:ascii=&quot;Times New Roman&quot; w:h-ansi=&quot;Times New Roman&quot;/&gt;&lt;wx:font wx:val=&quot;Times New Roman&quot;/&gt;&lt;w:b-cs/&gt;&lt;w:i/&gt;&lt;w:sz-cs w:val=&quot;20&quot;/&gt;&lt;w:lang w:fareast=&quot;KO&quot;/&gt;&lt;/w:rPr&gt;&lt;m:t&gt;slot&lt;/m:t&gt;&lt;/m:r&gt;&lt;/m:sub&gt;&lt;m:sup&gt;&lt;m:r&gt;&lt;m:rPr&gt;&lt;m:nor/&gt;&lt;/m:rPr&gt;&lt;w:rPr&gt;&lt;w:rFonts w:ascii=&quot;Times New Roman&quot; w:h-ansi=&quot;Times New Roman&quot;/&gt;&lt;wx:font wx:val=&quot;Times New Roman&quot;/&gt;&lt;w:b-cs/&gt;&lt;w:i/&gt;&lt;w:sz-cs w:val=&quot;20&quot;/&gt;&lt;w:lang w:fareast=&quot;KO&quot;/&gt;&lt;/w:rPr&gt;&lt;m:t&gt;subframe&lt;/m:t&gt;&lt;/m:r&gt;&lt;m:r&gt;&lt;w:rPr&gt;&lt;w:rFonts w:ascii=&quot;Cambria Math&quot; w:h-ansi=&quot;Cambria Math&quot;/&gt;&lt;wx:font wx:val=&quot;Cambria Math&quot;/&gt;&lt;w:i/&gt;&lt;w:sz-cs w:val=&quot;20&quot;/&gt;&lt;w:lang w:fareast=&quot;KO&quot;/&gt;&lt;/w:rPr&gt;&lt;m:t&gt;,μ&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hint="eastAsia"/>
          <w:lang w:val="en-US" w:eastAsia="ko-KR"/>
        </w:rPr>
        <w:fldChar w:fldCharType="end"/>
      </w:r>
      <w:r>
        <w:rPr>
          <w:rFonts w:hint="eastAsia"/>
          <w:lang w:val="en-US" w:eastAsia="ko-KR"/>
        </w:rPr>
        <w:t>+1</w:t>
      </w:r>
      <w:r>
        <w:rPr>
          <w:rFonts w:hint="eastAsia"/>
          <w:lang w:val="en-US" w:eastAsia="zh-CN"/>
        </w:rPr>
        <w:t>, and some company believes whether need additional processing delay, depends on the frequency relation between on-demand SSB and always-on SSB for case 2. So we can discuss this issue for Case 1 and Case 2 respectively.</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For Case 1, since after receiving the on-demand SSB activation command, as long as the MAC CE processing and HARQ feedback are finished by the UE, the UE would wait for the first on-demand SSB occasion to do measurement. Not referring to any RF retunning from always-on SSB to on-demand SSB, but we are not sure whether UE needs some time to re-schedule the searcher. If UE could finish the searcher re-scheduling within the duration of waiting for the first on-demand SSB occasion, then no additional UE processing delay is needed. But RAN4 could internally discuss this.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For Case 2, it should be noted that RAN1 has approved an LS reply to RAN4 regarding the relationship between on-demand SSB and always-on SSB in [2] and with the following answer for Q3: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contextualSpacing/>
              <w:jc w:val="both"/>
              <w:rPr>
                <w:b/>
                <w:bCs/>
                <w:lang w:eastAsia="ko-KR"/>
              </w:rPr>
            </w:pPr>
            <w:r>
              <w:rPr>
                <w:rFonts w:cs="Arial"/>
                <w:b/>
                <w:bCs/>
                <w:lang w:val="en-US" w:eastAsia="zh-CN"/>
              </w:rPr>
              <w:t>Reply to Q</w:t>
            </w:r>
            <w:r>
              <w:rPr>
                <w:rFonts w:hint="eastAsia" w:cs="Arial"/>
                <w:b/>
                <w:bCs/>
                <w:lang w:val="en-US" w:eastAsia="ko-KR"/>
              </w:rPr>
              <w:t>3</w:t>
            </w:r>
            <w:r>
              <w:rPr>
                <w:rFonts w:cs="Arial"/>
                <w:b/>
                <w:bCs/>
                <w:lang w:val="en-US" w:eastAsia="zh-CN"/>
              </w:rPr>
              <w:t xml:space="preserve"> </w:t>
            </w:r>
            <w:r>
              <w:rPr>
                <w:rFonts w:hint="eastAsia" w:cs="Arial"/>
                <w:b/>
                <w:bCs/>
                <w:lang w:val="en-US" w:eastAsia="ko-KR"/>
              </w:rPr>
              <w:t>(</w:t>
            </w:r>
            <w:r>
              <w:rPr>
                <w:rFonts w:cs="Arial"/>
                <w:b/>
                <w:bCs/>
                <w:lang w:val="en-US" w:eastAsia="ko-KR"/>
              </w:rPr>
              <w:t>What is the relation in terms of frequency location between the always-on SSB and OD-SSB?</w:t>
            </w:r>
            <w:r>
              <w:rPr>
                <w:rFonts w:hint="eastAsia" w:cs="Arial"/>
                <w:b/>
                <w:bCs/>
                <w:lang w:val="en-US" w:eastAsia="ko-KR"/>
              </w:rPr>
              <w:t>):</w:t>
            </w:r>
          </w:p>
          <w:p>
            <w:pPr>
              <w:numPr>
                <w:ilvl w:val="0"/>
                <w:numId w:val="9"/>
              </w:numPr>
              <w:overflowPunct/>
              <w:autoSpaceDE/>
              <w:autoSpaceDN/>
              <w:adjustRightInd/>
              <w:contextualSpacing/>
              <w:jc w:val="both"/>
              <w:textAlignment w:val="auto"/>
              <w:rPr>
                <w:rFonts w:hint="default"/>
                <w:vertAlign w:val="baseline"/>
                <w:lang w:val="en-US" w:eastAsia="zh-CN"/>
              </w:rPr>
            </w:pPr>
            <w:r>
              <w:rPr>
                <w:rFonts w:cs="Arial"/>
                <w:lang w:eastAsia="zh-CN"/>
              </w:rPr>
              <w:t xml:space="preserve">The frequency location of on-demand SSB </w:t>
            </w:r>
            <w:r>
              <w:rPr>
                <w:rFonts w:hint="eastAsia" w:cs="Arial"/>
                <w:lang w:eastAsia="ko-KR"/>
              </w:rPr>
              <w:t>is the</w:t>
            </w:r>
            <w:r>
              <w:rPr>
                <w:rFonts w:cs="Arial"/>
                <w:lang w:eastAsia="zh-CN"/>
              </w:rPr>
              <w:t xml:space="preserve"> same </w:t>
            </w:r>
            <w:r>
              <w:rPr>
                <w:rFonts w:hint="eastAsia" w:cs="Arial"/>
                <w:lang w:eastAsia="ko-KR"/>
              </w:rPr>
              <w:t>as</w:t>
            </w:r>
            <w:r>
              <w:rPr>
                <w:rFonts w:cs="Arial"/>
                <w:lang w:eastAsia="zh-CN"/>
              </w:rPr>
              <w:t xml:space="preserve"> the frequency location of always-on SSB</w:t>
            </w:r>
            <w:r>
              <w:rPr>
                <w:rFonts w:cs="Arial"/>
                <w:lang w:eastAsia="ko-KR"/>
              </w:rPr>
              <w:t xml:space="preserve"> at least for the case where always-on SS</w:t>
            </w:r>
            <w:r>
              <w:rPr>
                <w:rFonts w:cs="Arial"/>
                <w:highlight w:val="none"/>
                <w:lang w:eastAsia="ko-KR"/>
              </w:rPr>
              <w:t>B is not CD-SSB. RAN1 is discussing the frequency location of OD-SSB for the case where always-on SSB is CD-SSB.</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So at least the same frequency case between on-demand SSB and always-on SSB can be confirmed. Whether different frequency case is allowed, still need to wait from RAN1 further discussion. As a result, we can first identify the processing delay for the same frequency case between on-demand SSB and always-on SSB. Under this case, the searcher re-scheduling is not need to consider any longer since even no on-demand SSB activated, the UE still needs to measure always-on SSB for the SCell at the same frequency.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1: To confirm the T_min defined in RAN1 LS and reply the LS.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2: RAN4 identifies the details of UE processing after receiving on-demand SSB activation command internally for Case 1 and Case 2 respectively.</w:t>
      </w:r>
    </w:p>
    <w:p>
      <w:pPr>
        <w:pStyle w:val="9"/>
        <w:keepNext w:val="0"/>
        <w:keepLines w:val="0"/>
        <w:pageBreakBefore w:val="0"/>
        <w:widowControl/>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Case 1, the searcher re-scheduling could be performed within the duration of waiting for the first on-demand SSB occasion.</w:t>
      </w:r>
    </w:p>
    <w:p>
      <w:pPr>
        <w:pStyle w:val="9"/>
        <w:keepNext w:val="0"/>
        <w:keepLines w:val="0"/>
        <w:pageBreakBefore w:val="0"/>
        <w:widowControl/>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Case 2, no need searcher re-scheduling at least for the case of same frequency between on-demand SSB and always-on SSB.</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One enhancement of performing L1 measurement before SCell activation was raised in previous meeting. This is a totally new type of measurement. Since no apparent benefit can be expected, it is preferred not to consider such type of measurement.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3: L1 measurements are not supported for deactivated SCell.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As a new application of SSB, the accuracy for on-demand SSB should also be determined. It is nature to ensure the legacy measurement accuracy should be followed by UE.</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4: The legacy measurement accuracy is applied for OD-SSB based measurement.</w:t>
      </w:r>
    </w:p>
    <w:p>
      <w:pPr>
        <w:pStyle w:val="3"/>
        <w:bidi w:val="0"/>
        <w:rPr>
          <w:rFonts w:hint="eastAsia"/>
          <w:lang w:val="en-US" w:eastAsia="zh-CN"/>
        </w:rPr>
      </w:pPr>
      <w:r>
        <w:rPr>
          <w:rFonts w:hint="eastAsia"/>
          <w:lang w:val="en-US" w:eastAsia="zh-CN"/>
        </w:rPr>
        <w:t>2.2 Consideration on the deactivated SCell measurement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To apply on-demand SSB during deactivated SCell measurement, the two cases should be discussed:</w:t>
      </w:r>
    </w:p>
    <w:p>
      <w:pPr>
        <w:numPr>
          <w:ilvl w:val="0"/>
          <w:numId w:val="5"/>
        </w:numPr>
        <w:autoSpaceDN w:val="0"/>
        <w:snapToGrid w:val="0"/>
        <w:spacing w:after="120"/>
        <w:ind w:left="360" w:leftChars="0" w:hanging="360" w:firstLineChars="0"/>
        <w:rPr>
          <w:rFonts w:eastAsia="DengXian"/>
          <w:kern w:val="2"/>
          <w:sz w:val="21"/>
          <w:szCs w:val="21"/>
          <w:lang w:val="en-US" w:eastAsia="zh-CN"/>
        </w:rPr>
      </w:pPr>
      <w:r>
        <w:rPr>
          <w:rFonts w:eastAsia="DengXian"/>
          <w:kern w:val="2"/>
          <w:sz w:val="21"/>
          <w:szCs w:val="21"/>
          <w:lang w:val="en-US" w:eastAsia="zh-CN"/>
        </w:rPr>
        <w:t>Case #1: No always-on SSB on the cell</w:t>
      </w:r>
    </w:p>
    <w:p>
      <w:pPr>
        <w:numPr>
          <w:ilvl w:val="0"/>
          <w:numId w:val="5"/>
        </w:numPr>
        <w:autoSpaceDN w:val="0"/>
        <w:snapToGrid w:val="0"/>
        <w:spacing w:after="120"/>
        <w:ind w:left="360" w:leftChars="0" w:hanging="360" w:firstLineChars="0"/>
        <w:rPr>
          <w:rFonts w:eastAsia="DengXian"/>
          <w:kern w:val="2"/>
          <w:sz w:val="21"/>
          <w:szCs w:val="21"/>
          <w:lang w:val="en-US" w:eastAsia="zh-CN"/>
        </w:rPr>
      </w:pPr>
      <w:r>
        <w:rPr>
          <w:rFonts w:eastAsia="DengXian"/>
          <w:kern w:val="2"/>
          <w:sz w:val="21"/>
          <w:szCs w:val="21"/>
          <w:lang w:val="en-US" w:eastAsia="zh-CN"/>
        </w:rPr>
        <w:t>Case #2: Always-on SSB is periodically transmitted on the 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eastAsia="宋体"/>
          <w:lang w:val="en-US" w:eastAsia="zh-CN"/>
        </w:rPr>
      </w:pPr>
      <w:r>
        <w:rPr>
          <w:rFonts w:hint="eastAsia"/>
          <w:u w:val="single"/>
          <w:lang w:val="en-US" w:eastAsia="zh-CN"/>
        </w:rPr>
        <w:t>For Case #1</w:t>
      </w:r>
      <w:r>
        <w:rPr>
          <w:rFonts w:hint="eastAsia"/>
          <w:lang w:val="en-US" w:eastAsia="zh-CN"/>
        </w:rPr>
        <w:t xml:space="preserve">, warmly discussion was held in last meeting to identify the UE measurement behavior, the trade-off between the UE power consumption and the expected quick measurement from NW perspective is considered. Finally a compromisation was determined, i.e. introduce a time window, during the time window, UE perform quick measurements instructed by the on-demand SSB periodicity configuration, and after the time window, UE fallback to legacy deactivated SCell measurement behavior, i.e. perform the measurement with the periodicity of </w:t>
      </w:r>
      <w:r>
        <w:rPr>
          <w:rFonts w:hint="eastAsia"/>
          <w:i/>
          <w:iCs/>
          <w:lang w:val="en-US" w:eastAsia="zh-CN"/>
        </w:rPr>
        <w:t>measCycleSCell</w:t>
      </w:r>
      <w:r>
        <w:rPr>
          <w:rFonts w:hint="eastAsia"/>
          <w:lang w:val="en-US" w:eastAsia="zh-CN"/>
        </w:rPr>
        <w:t xml:space="preserve"> as long as the on-demand SSB is not deactivated. The UE behavior within one time of on-demand SSB activation was determined. But the exact length of the fast measurement window is still uncertain. Based on the discussion during last meeting, at least one of two aspects should meet: 1) The UE has enough on-demand SSB samples to achieve the measurement requirements; 2) The UE has reported measurement results. To combine the combination of the two aspects and express in the number of on-demand SSB samples, we can obtain the formula as </w:t>
      </w:r>
      <w:r>
        <w:t>T</w:t>
      </w:r>
      <w:r>
        <w:rPr>
          <w:rFonts w:hint="eastAsia"/>
          <w:vertAlign w:val="subscript"/>
          <w:lang w:val="en-US" w:eastAsia="zh-CN"/>
        </w:rPr>
        <w:t>OD-</w:t>
      </w:r>
      <w:r>
        <w:rPr>
          <w:vertAlign w:val="subscript"/>
        </w:rPr>
        <w:t>SSB_sync_intra</w:t>
      </w:r>
      <w:r>
        <w:rPr>
          <w:rFonts w:hint="eastAsia"/>
          <w:lang w:val="en-US" w:eastAsia="zh-CN"/>
        </w:rPr>
        <w:t>+</w:t>
      </w:r>
      <w:r>
        <w:t>T</w:t>
      </w:r>
      <w:r>
        <w:rPr>
          <w:rFonts w:hint="eastAsia"/>
          <w:vertAlign w:val="subscript"/>
          <w:lang w:val="en-US" w:eastAsia="zh-CN"/>
        </w:rPr>
        <w:t>OD-</w:t>
      </w:r>
      <w:r>
        <w:rPr>
          <w:vertAlign w:val="subscript"/>
        </w:rPr>
        <w:t>SSB_time_index_intra</w:t>
      </w:r>
      <w:r>
        <w:rPr>
          <w:rFonts w:hint="eastAsia"/>
          <w:lang w:val="en-US" w:eastAsia="zh-CN"/>
        </w:rPr>
        <w:t>+</w:t>
      </w:r>
      <w:r>
        <w:t>T</w:t>
      </w:r>
      <w:r>
        <w:rPr>
          <w:rFonts w:hint="eastAsia"/>
          <w:vertAlign w:val="subscript"/>
          <w:lang w:val="en-US" w:eastAsia="zh-CN"/>
        </w:rPr>
        <w:t>OD-</w:t>
      </w:r>
      <w:r>
        <w:rPr>
          <w:vertAlign w:val="subscript"/>
        </w:rPr>
        <w:t>SSB_measurement_period_intra</w:t>
      </w:r>
      <w:r>
        <w:rPr>
          <w:rFonts w:hint="eastAsia" w:eastAsia="宋体"/>
          <w:vertAlign w:val="subscript"/>
          <w:lang w:val="en-US" w:eastAsia="zh-CN"/>
        </w:rPr>
        <w:t xml:space="preserve"> </w:t>
      </w:r>
      <w:r>
        <w:rPr>
          <w:rFonts w:hint="eastAsia"/>
          <w:lang w:val="en-US" w:eastAsia="zh-CN"/>
        </w:rPr>
        <w:t xml:space="preserve">or </w:t>
      </w:r>
      <w:r>
        <w:t>T</w:t>
      </w:r>
      <w:r>
        <w:rPr>
          <w:rFonts w:hint="eastAsia"/>
          <w:vertAlign w:val="subscript"/>
          <w:lang w:val="en-US" w:eastAsia="zh-CN"/>
        </w:rPr>
        <w:t>OD-</w:t>
      </w:r>
      <w:r>
        <w:rPr>
          <w:vertAlign w:val="subscript"/>
        </w:rPr>
        <w:t>SSB_sync_intra</w:t>
      </w:r>
      <w:r>
        <w:rPr>
          <w:rFonts w:hint="eastAsia"/>
          <w:lang w:val="en-US" w:eastAsia="zh-CN"/>
        </w:rPr>
        <w:t>+</w:t>
      </w:r>
      <w:r>
        <w:t>T</w:t>
      </w:r>
      <w:r>
        <w:rPr>
          <w:rFonts w:hint="eastAsia"/>
          <w:vertAlign w:val="subscript"/>
          <w:lang w:val="en-US" w:eastAsia="zh-CN"/>
        </w:rPr>
        <w:t>OD-</w:t>
      </w:r>
      <w:r>
        <w:rPr>
          <w:vertAlign w:val="subscript"/>
        </w:rPr>
        <w:t>SSB_measurement_period_intra</w:t>
      </w:r>
      <w:r>
        <w:rPr>
          <w:rFonts w:hint="eastAsia"/>
          <w:lang w:val="en-US" w:eastAsia="zh-CN"/>
        </w:rPr>
        <w:t>.</w:t>
      </w:r>
      <w:r>
        <w:rPr>
          <w:rFonts w:hint="eastAsia" w:eastAsia="宋体"/>
          <w:vertAlign w:val="subscript"/>
          <w:lang w:val="en-US" w:eastAsia="zh-CN"/>
        </w:rPr>
        <w:t xml:space="preserve"> </w:t>
      </w:r>
      <w:r>
        <w:t xml:space="preserve"> </w:t>
      </w:r>
      <w:r>
        <w:rPr>
          <w:rFonts w:hint="eastAsia" w:eastAsia="宋体"/>
          <w:lang w:val="en-US" w:eastAsia="zh-CN"/>
        </w:rPr>
        <w:t>For each of the component, the periodicity of on-demand SSB, K</w:t>
      </w:r>
      <w:r>
        <w:rPr>
          <w:rFonts w:hint="eastAsia"/>
          <w:vertAlign w:val="subscript"/>
          <w:lang w:val="en-US" w:eastAsia="zh-CN"/>
        </w:rPr>
        <w:t>p</w:t>
      </w:r>
      <w:r>
        <w:rPr>
          <w:rFonts w:hint="eastAsia" w:eastAsia="宋体"/>
          <w:lang w:val="en-US" w:eastAsia="zh-CN"/>
        </w:rPr>
        <w:t xml:space="preserve"> and CSSF</w:t>
      </w:r>
      <w:r>
        <w:rPr>
          <w:vertAlign w:val="subscript"/>
        </w:rPr>
        <w:t>intra</w:t>
      </w:r>
      <w:r>
        <w:rPr>
          <w:rFonts w:hint="eastAsia" w:eastAsia="宋体"/>
          <w:lang w:val="en-US" w:eastAsia="zh-CN"/>
        </w:rPr>
        <w:t xml:space="preserve"> should be taken into consideration irrelevant whether DRX is enabled.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To figure out the whole picture, the case of multiple on-demand SSB activation was discussed in last meeting, but fail to achieve consensus.</w:t>
      </w:r>
    </w:p>
    <w:p>
      <w:pPr>
        <w:pStyle w:val="9"/>
        <w:keepNext w:val="0"/>
        <w:keepLines w:val="0"/>
        <w:pageBreakBefore w:val="0"/>
        <w:widowControl/>
        <w:kinsoku/>
        <w:wordWrap/>
        <w:overflowPunct/>
        <w:topLinePunct w:val="0"/>
        <w:autoSpaceDE/>
        <w:autoSpaceDN/>
        <w:bidi w:val="0"/>
        <w:adjustRightInd/>
        <w:snapToGrid/>
        <w:spacing w:before="120" w:after="0"/>
        <w:jc w:val="center"/>
        <w:textAlignment w:val="auto"/>
        <w:rPr>
          <w:color w:val="auto"/>
          <w:szCs w:val="24"/>
          <w:lang w:val="en-US" w:eastAsia="zh-CN"/>
        </w:rPr>
      </w:pPr>
      <w:r>
        <w:rPr>
          <w:color w:val="auto"/>
          <w:szCs w:val="24"/>
          <w:lang w:val="en-US" w:eastAsia="zh-CN"/>
        </w:rPr>
        <w:drawing>
          <wp:inline distT="0" distB="0" distL="0" distR="0">
            <wp:extent cx="5080000" cy="1811020"/>
            <wp:effectExtent l="0" t="0" r="0" b="0"/>
            <wp:docPr id="462628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628438"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106107" cy="1820543"/>
                    </a:xfrm>
                    <a:prstGeom prst="rect">
                      <a:avLst/>
                    </a:prstGeom>
                    <a:noFill/>
                  </pic:spPr>
                </pic:pic>
              </a:graphicData>
            </a:graphic>
          </wp:inline>
        </w:drawing>
      </w:r>
    </w:p>
    <w:p>
      <w:pPr>
        <w:pStyle w:val="9"/>
        <w:keepNext w:val="0"/>
        <w:keepLines w:val="0"/>
        <w:pageBreakBefore w:val="0"/>
        <w:widowControl/>
        <w:kinsoku/>
        <w:wordWrap/>
        <w:overflowPunct/>
        <w:topLinePunct w:val="0"/>
        <w:autoSpaceDE/>
        <w:autoSpaceDN/>
        <w:bidi w:val="0"/>
        <w:adjustRightInd/>
        <w:snapToGrid/>
        <w:spacing w:before="120" w:after="0"/>
        <w:jc w:val="center"/>
        <w:textAlignment w:val="auto"/>
        <w:rPr>
          <w:rFonts w:hint="default"/>
          <w:color w:val="auto"/>
          <w:szCs w:val="24"/>
          <w:lang w:val="en-US" w:eastAsia="zh-CN"/>
        </w:rPr>
      </w:pPr>
      <w:r>
        <w:rPr>
          <w:rFonts w:hint="eastAsia"/>
          <w:color w:val="auto"/>
          <w:szCs w:val="24"/>
          <w:lang w:val="en-US" w:eastAsia="zh-CN"/>
        </w:rPr>
        <w:t>Figure 1. UE measurement on deactivated SCell</w:t>
      </w:r>
    </w:p>
    <w:p>
      <w:pPr>
        <w:pStyle w:val="9"/>
        <w:keepNext w:val="0"/>
        <w:keepLines w:val="0"/>
        <w:pageBreakBefore w:val="0"/>
        <w:widowControl/>
        <w:kinsoku/>
        <w:wordWrap/>
        <w:overflowPunct/>
        <w:topLinePunct w:val="0"/>
        <w:autoSpaceDE/>
        <w:autoSpaceDN/>
        <w:bidi w:val="0"/>
        <w:adjustRightInd/>
        <w:snapToGrid/>
        <w:spacing w:before="120" w:after="0"/>
        <w:jc w:val="both"/>
        <w:textAlignment w:val="auto"/>
        <w:rPr>
          <w:rFonts w:hint="eastAsia"/>
          <w:color w:val="auto"/>
          <w:szCs w:val="24"/>
          <w:lang w:val="en-US" w:eastAsia="zh-CN"/>
        </w:rPr>
      </w:pPr>
      <w:r>
        <w:rPr>
          <w:rFonts w:hint="eastAsia"/>
          <w:color w:val="auto"/>
          <w:szCs w:val="24"/>
          <w:lang w:val="en-US" w:eastAsia="zh-CN"/>
        </w:rPr>
        <w:t xml:space="preserve">As shown in Figure 1, within the whole deactivated SCell status, two times of on-demand SSB activation/deactivation are included. The interval between the former deactivation and the later activation is T2. To our understanding, how long is T2, it depends on the NW decision, no need to specify any lower bound or upper bound for the interval T2.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5: Under Case#1, for the case of multiple on-demand SSB activation/deactivation during deactivated SCell, not to define any lower bound or upper bound for the interval of the former deactivation and later activation, the interval is totally decided by NW.</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olor w:val="auto"/>
          <w:szCs w:val="24"/>
          <w:lang w:val="en-US" w:eastAsia="zh-CN"/>
        </w:rPr>
      </w:pPr>
      <w:r>
        <w:rPr>
          <w:rFonts w:hint="eastAsia"/>
          <w:color w:val="auto"/>
          <w:szCs w:val="24"/>
          <w:lang w:val="en-US" w:eastAsia="zh-CN"/>
        </w:rPr>
        <w:t>However RAN4 could discuss the UE behavior impacted by different length of T2. We understand the exact length of T2 has impact on the UE behavior after the reception of later on-demand SSB activation  command, i.e. phase 5 in Figure 1. If UE could maintain the cell detection during T2, then UE does not need to perform PSS/SSS detection within phase 5 any more, directly perform deactivated SCell measurement from the 1</w:t>
      </w:r>
      <w:r>
        <w:rPr>
          <w:rFonts w:hint="eastAsia"/>
          <w:color w:val="auto"/>
          <w:szCs w:val="24"/>
          <w:vertAlign w:val="superscript"/>
          <w:lang w:val="en-US" w:eastAsia="zh-CN"/>
        </w:rPr>
        <w:t>st</w:t>
      </w:r>
      <w:r>
        <w:rPr>
          <w:rFonts w:hint="eastAsia"/>
          <w:color w:val="auto"/>
          <w:szCs w:val="24"/>
          <w:lang w:val="en-US" w:eastAsia="zh-CN"/>
        </w:rPr>
        <w:t xml:space="preserve"> on-demand SSB occasion within phase 5. In legacy SCell activation procedure, the cell detection operation could be ignored on condition that there is reference cell to share the cell coarse sync info. This solution could be reused here, i.e. when there is contiguous active serving cell in the same FR1 band or active serving cell in the same FR2 band, the cell detection could be ignored within the fast measurement window. So the length of the fast measurement window only contain enough on-demand SSB samples of deactivated SCell measurement is fine.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olor w:val="auto"/>
          <w:szCs w:val="24"/>
          <w:lang w:val="en-US" w:eastAsia="zh-CN"/>
        </w:rPr>
      </w:pPr>
      <w:r>
        <w:rPr>
          <w:rFonts w:hint="eastAsia"/>
          <w:b/>
          <w:bCs/>
          <w:lang w:val="en-US" w:eastAsia="zh-CN"/>
        </w:rPr>
        <w:t xml:space="preserve">Proposal 6: Under Case#1, for the case of UE could maintain the deactivated SCell detected during T2, or there is active serving cell in the same band(contiguous for FR1), the subsequent fast measurement window could be reduced to only contain enough on-demand SSB samples for deactivated SCell measurement. </w:t>
      </w:r>
    </w:p>
    <w:p>
      <w:pPr>
        <w:pStyle w:val="9"/>
        <w:keepNext w:val="0"/>
        <w:keepLines w:val="0"/>
        <w:pageBreakBefore w:val="0"/>
        <w:widowControl/>
        <w:kinsoku/>
        <w:wordWrap/>
        <w:overflowPunct/>
        <w:topLinePunct w:val="0"/>
        <w:autoSpaceDE/>
        <w:autoSpaceDN/>
        <w:bidi w:val="0"/>
        <w:adjustRightInd/>
        <w:snapToGrid/>
        <w:spacing w:before="120" w:after="0"/>
        <w:jc w:val="both"/>
        <w:textAlignment w:val="auto"/>
        <w:rPr>
          <w:rFonts w:hint="eastAsia"/>
          <w:lang w:val="en-US" w:eastAsia="zh-CN"/>
        </w:rPr>
      </w:pPr>
      <w:r>
        <w:rPr>
          <w:rFonts w:hint="eastAsia"/>
          <w:u w:val="single"/>
          <w:lang w:val="en-US" w:eastAsia="zh-CN"/>
        </w:rPr>
        <w:t>For Case #2</w:t>
      </w:r>
      <w:r>
        <w:rPr>
          <w:rFonts w:hint="eastAsia"/>
          <w:lang w:val="en-US" w:eastAsia="zh-CN"/>
        </w:rPr>
        <w:t>, after the on-demand SSC activation, both always-on SSB and on-demand SSB are transmitted. The relationship between the two SSBs in terms of periodicity, time location, frequency and QCL are significant to determine the requirements. RAN1 replies[2] on these aspects are as below and some key points are highlighted by us: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contextualSpacing/>
              <w:jc w:val="both"/>
              <w:textAlignment w:val="auto"/>
              <w:rPr>
                <w:b/>
                <w:bCs/>
                <w:lang w:eastAsia="ko-KR"/>
              </w:rPr>
            </w:pPr>
            <w:r>
              <w:rPr>
                <w:rFonts w:cs="Arial"/>
                <w:b/>
                <w:bCs/>
                <w:lang w:val="en-US" w:eastAsia="zh-CN"/>
              </w:rPr>
              <w:t>Reply to Q1</w:t>
            </w:r>
            <w:r>
              <w:rPr>
                <w:rFonts w:hint="eastAsia" w:cs="Arial"/>
                <w:b/>
                <w:bCs/>
                <w:lang w:val="en-US" w:eastAsia="ko-KR"/>
              </w:rPr>
              <w:t xml:space="preserve"> (</w:t>
            </w:r>
            <w:r>
              <w:rPr>
                <w:rFonts w:cs="Arial"/>
                <w:b/>
                <w:bCs/>
                <w:lang w:val="en-US" w:eastAsia="ko-KR"/>
              </w:rPr>
              <w:t>What is the relation in terms of periodicity between always-on SSB and OD-SSB?</w:t>
            </w:r>
            <w:r>
              <w:rPr>
                <w:rFonts w:hint="eastAsia" w:cs="Arial"/>
                <w:b/>
                <w:bCs/>
                <w:lang w:val="en-US" w:eastAsia="ko-KR"/>
              </w:rPr>
              <w:t>):</w:t>
            </w:r>
          </w:p>
          <w:p>
            <w:pPr>
              <w:keepNext w:val="0"/>
              <w:keepLines w:val="0"/>
              <w:pageBreakBefore w:val="0"/>
              <w:widowControl/>
              <w:numPr>
                <w:ilvl w:val="0"/>
                <w:numId w:val="9"/>
              </w:numPr>
              <w:kinsoku/>
              <w:wordWrap/>
              <w:overflowPunct/>
              <w:topLinePunct w:val="0"/>
              <w:autoSpaceDE/>
              <w:autoSpaceDN/>
              <w:bidi w:val="0"/>
              <w:adjustRightInd/>
              <w:snapToGrid/>
              <w:spacing w:after="0"/>
              <w:contextualSpacing/>
              <w:jc w:val="both"/>
              <w:textAlignment w:val="auto"/>
              <w:rPr>
                <w:rFonts w:eastAsia="Malgun Gothic"/>
                <w:sz w:val="16"/>
                <w:szCs w:val="16"/>
                <w:lang w:eastAsia="zh-CN"/>
              </w:rPr>
            </w:pPr>
            <w:r>
              <w:rPr>
                <w:sz w:val="16"/>
                <w:szCs w:val="16"/>
                <w:lang w:eastAsia="ko-KR"/>
              </w:rPr>
              <w:t>The periodicity of on-demand SSB is one of 5 ms, 10 ms, 20 ms, 40 ms, 80 ms, or 160 ms.</w:t>
            </w:r>
          </w:p>
          <w:p>
            <w:pPr>
              <w:keepNext w:val="0"/>
              <w:keepLines w:val="0"/>
              <w:pageBreakBefore w:val="0"/>
              <w:widowControl/>
              <w:numPr>
                <w:ilvl w:val="0"/>
                <w:numId w:val="9"/>
              </w:numPr>
              <w:kinsoku/>
              <w:wordWrap/>
              <w:overflowPunct/>
              <w:topLinePunct w:val="0"/>
              <w:autoSpaceDE/>
              <w:autoSpaceDN/>
              <w:bidi w:val="0"/>
              <w:adjustRightInd/>
              <w:snapToGrid/>
              <w:spacing w:after="0"/>
              <w:contextualSpacing/>
              <w:jc w:val="both"/>
              <w:textAlignment w:val="auto"/>
              <w:rPr>
                <w:rFonts w:eastAsia="Malgun Gothic"/>
                <w:sz w:val="16"/>
                <w:szCs w:val="16"/>
                <w:lang w:eastAsia="zh-CN"/>
              </w:rPr>
            </w:pPr>
            <w:r>
              <w:rPr>
                <w:rFonts w:cs="Arial"/>
                <w:sz w:val="16"/>
                <w:szCs w:val="16"/>
                <w:lang w:eastAsia="zh-CN"/>
              </w:rPr>
              <w:t>The periodicity of on-demand SSB can be configured separately from the periodicity of always-on SSB</w:t>
            </w:r>
            <w:r>
              <w:rPr>
                <w:rFonts w:cs="Arial"/>
                <w:sz w:val="16"/>
                <w:szCs w:val="16"/>
                <w:lang w:eastAsia="ko-KR"/>
              </w:rPr>
              <w:t>.</w:t>
            </w:r>
          </w:p>
          <w:p>
            <w:pPr>
              <w:keepNext w:val="0"/>
              <w:keepLines w:val="0"/>
              <w:pageBreakBefore w:val="0"/>
              <w:widowControl/>
              <w:numPr>
                <w:ilvl w:val="0"/>
                <w:numId w:val="9"/>
              </w:numPr>
              <w:kinsoku/>
              <w:wordWrap/>
              <w:overflowPunct/>
              <w:topLinePunct w:val="0"/>
              <w:autoSpaceDE/>
              <w:autoSpaceDN/>
              <w:bidi w:val="0"/>
              <w:adjustRightInd/>
              <w:snapToGrid/>
              <w:spacing w:after="0"/>
              <w:contextualSpacing/>
              <w:jc w:val="both"/>
              <w:textAlignment w:val="auto"/>
              <w:rPr>
                <w:rFonts w:eastAsia="Malgun Gothic"/>
                <w:sz w:val="16"/>
                <w:szCs w:val="16"/>
                <w:lang w:eastAsia="zh-CN"/>
              </w:rPr>
            </w:pPr>
            <w:r>
              <w:rPr>
                <w:rFonts w:hint="eastAsia" w:eastAsia="Malgun Gothic"/>
                <w:sz w:val="16"/>
                <w:szCs w:val="16"/>
                <w:lang w:eastAsia="ko-KR"/>
              </w:rPr>
              <w:t xml:space="preserve">RAN1 is discussing what is the relation between periodicity of </w:t>
            </w:r>
            <w:r>
              <w:rPr>
                <w:rFonts w:eastAsia="Malgun Gothic"/>
                <w:sz w:val="16"/>
                <w:szCs w:val="16"/>
                <w:lang w:eastAsia="ko-KR"/>
              </w:rPr>
              <w:t>always</w:t>
            </w:r>
            <w:r>
              <w:rPr>
                <w:rFonts w:hint="eastAsia" w:eastAsia="Malgun Gothic"/>
                <w:sz w:val="16"/>
                <w:szCs w:val="16"/>
                <w:lang w:eastAsia="ko-KR"/>
              </w:rPr>
              <w:t xml:space="preserve">-on SSB and </w:t>
            </w:r>
            <w:r>
              <w:rPr>
                <w:rFonts w:eastAsia="Malgun Gothic"/>
                <w:sz w:val="16"/>
                <w:szCs w:val="16"/>
                <w:lang w:eastAsia="ko-KR"/>
              </w:rPr>
              <w:t>periodicity</w:t>
            </w:r>
            <w:r>
              <w:rPr>
                <w:rFonts w:hint="eastAsia" w:eastAsia="Malgun Gothic"/>
                <w:sz w:val="16"/>
                <w:szCs w:val="16"/>
                <w:lang w:eastAsia="ko-KR"/>
              </w:rPr>
              <w:t xml:space="preserve"> of on-demand SSB and </w:t>
            </w:r>
            <w:r>
              <w:rPr>
                <w:rFonts w:eastAsia="Malgun Gothic"/>
                <w:sz w:val="16"/>
                <w:szCs w:val="16"/>
                <w:lang w:eastAsia="ko-KR"/>
              </w:rPr>
              <w:t xml:space="preserve">it </w:t>
            </w:r>
            <w:r>
              <w:rPr>
                <w:rFonts w:hint="eastAsia" w:eastAsia="Malgun Gothic"/>
                <w:sz w:val="16"/>
                <w:szCs w:val="16"/>
                <w:lang w:eastAsia="ko-KR"/>
              </w:rPr>
              <w:t xml:space="preserve">has been identified that </w:t>
            </w:r>
            <w:r>
              <w:rPr>
                <w:rFonts w:hint="eastAsia" w:eastAsia="Malgun Gothic"/>
                <w:sz w:val="16"/>
                <w:szCs w:val="16"/>
                <w:highlight w:val="yellow"/>
                <w:lang w:eastAsia="ko-KR"/>
              </w:rPr>
              <w:t>the main use case is</w:t>
            </w:r>
            <w:r>
              <w:rPr>
                <w:rFonts w:hint="eastAsia" w:cs="Arial"/>
                <w:sz w:val="16"/>
                <w:szCs w:val="16"/>
                <w:highlight w:val="yellow"/>
                <w:lang w:eastAsia="ko-KR"/>
              </w:rPr>
              <w:t xml:space="preserve"> that t</w:t>
            </w:r>
            <w:r>
              <w:rPr>
                <w:rFonts w:cs="Arial"/>
                <w:sz w:val="16"/>
                <w:szCs w:val="16"/>
                <w:highlight w:val="yellow"/>
                <w:lang w:eastAsia="zh-CN"/>
              </w:rPr>
              <w:t xml:space="preserve">he periodicity of on-demand SSB is </w:t>
            </w:r>
            <w:r>
              <w:rPr>
                <w:rFonts w:hint="eastAsia" w:cs="Arial"/>
                <w:sz w:val="16"/>
                <w:szCs w:val="16"/>
                <w:highlight w:val="yellow"/>
                <w:lang w:eastAsia="ko-KR"/>
              </w:rPr>
              <w:t>equal to or smaller than</w:t>
            </w:r>
            <w:r>
              <w:rPr>
                <w:rFonts w:cs="Arial"/>
                <w:sz w:val="16"/>
                <w:szCs w:val="16"/>
                <w:highlight w:val="yellow"/>
                <w:lang w:eastAsia="zh-CN"/>
              </w:rPr>
              <w:t xml:space="preserve"> that of always-on SSB</w:t>
            </w:r>
            <w:r>
              <w:rPr>
                <w:rFonts w:cs="Arial"/>
                <w:sz w:val="16"/>
                <w:szCs w:val="16"/>
                <w:lang w:eastAsia="zh-CN"/>
              </w:rPr>
              <w:t>.</w:t>
            </w:r>
          </w:p>
          <w:p>
            <w:pPr>
              <w:keepNext w:val="0"/>
              <w:keepLines w:val="0"/>
              <w:pageBreakBefore w:val="0"/>
              <w:widowControl/>
              <w:kinsoku/>
              <w:wordWrap/>
              <w:overflowPunct/>
              <w:topLinePunct w:val="0"/>
              <w:autoSpaceDE/>
              <w:autoSpaceDN/>
              <w:bidi w:val="0"/>
              <w:adjustRightInd/>
              <w:snapToGrid/>
              <w:contextualSpacing/>
              <w:jc w:val="both"/>
              <w:textAlignment w:val="auto"/>
              <w:rPr>
                <w:rFonts w:cs="Arial"/>
                <w:b/>
                <w:bCs/>
                <w:highlight w:val="yellow"/>
                <w:lang w:val="en-US" w:eastAsia="zh-CN"/>
              </w:rPr>
            </w:pPr>
          </w:p>
          <w:p>
            <w:pPr>
              <w:keepNext w:val="0"/>
              <w:keepLines w:val="0"/>
              <w:pageBreakBefore w:val="0"/>
              <w:widowControl/>
              <w:kinsoku/>
              <w:wordWrap/>
              <w:overflowPunct/>
              <w:topLinePunct w:val="0"/>
              <w:autoSpaceDE/>
              <w:autoSpaceDN/>
              <w:bidi w:val="0"/>
              <w:adjustRightInd/>
              <w:snapToGrid/>
              <w:contextualSpacing/>
              <w:jc w:val="both"/>
              <w:textAlignment w:val="auto"/>
              <w:rPr>
                <w:b/>
                <w:bCs/>
                <w:lang w:eastAsia="ko-KR"/>
              </w:rPr>
            </w:pPr>
            <w:r>
              <w:rPr>
                <w:rFonts w:cs="Arial"/>
                <w:b/>
                <w:bCs/>
                <w:lang w:val="en-US" w:eastAsia="zh-CN"/>
              </w:rPr>
              <w:t>Reply to Q2</w:t>
            </w:r>
            <w:r>
              <w:rPr>
                <w:rFonts w:hint="eastAsia" w:cs="Arial"/>
                <w:b/>
                <w:bCs/>
                <w:lang w:val="en-US" w:eastAsia="ko-KR"/>
              </w:rPr>
              <w:t xml:space="preserve"> (</w:t>
            </w:r>
            <w:r>
              <w:rPr>
                <w:rFonts w:cs="Arial"/>
                <w:b/>
                <w:bCs/>
                <w:lang w:val="en-US" w:eastAsia="ko-KR"/>
              </w:rPr>
              <w:t>What is the relation in terms of time location between always-on SSB and OD-SSB?</w:t>
            </w:r>
            <w:r>
              <w:rPr>
                <w:rFonts w:hint="eastAsia" w:cs="Arial"/>
                <w:b/>
                <w:bCs/>
                <w:lang w:val="en-US" w:eastAsia="ko-KR"/>
              </w:rPr>
              <w:t>):</w:t>
            </w:r>
          </w:p>
          <w:p>
            <w:pPr>
              <w:keepNext w:val="0"/>
              <w:keepLines w:val="0"/>
              <w:pageBreakBefore w:val="0"/>
              <w:widowControl/>
              <w:numPr>
                <w:ilvl w:val="0"/>
                <w:numId w:val="9"/>
              </w:numPr>
              <w:kinsoku/>
              <w:wordWrap/>
              <w:overflowPunct/>
              <w:topLinePunct w:val="0"/>
              <w:autoSpaceDE/>
              <w:autoSpaceDN/>
              <w:bidi w:val="0"/>
              <w:adjustRightInd/>
              <w:snapToGrid/>
              <w:spacing w:after="0"/>
              <w:contextualSpacing/>
              <w:jc w:val="both"/>
              <w:textAlignment w:val="auto"/>
              <w:rPr>
                <w:rFonts w:eastAsia="Malgun Gothic"/>
                <w:sz w:val="16"/>
                <w:szCs w:val="16"/>
                <w:lang w:eastAsia="zh-CN"/>
              </w:rPr>
            </w:pPr>
            <w:r>
              <w:rPr>
                <w:sz w:val="16"/>
                <w:szCs w:val="16"/>
                <w:lang w:eastAsia="ko-KR"/>
              </w:rPr>
              <w:t>RAN1 understands the time location of OD-SSB in Q2 refers to the time location of possible OD-SSB burst.</w:t>
            </w:r>
          </w:p>
          <w:p>
            <w:pPr>
              <w:keepNext w:val="0"/>
              <w:keepLines w:val="0"/>
              <w:pageBreakBefore w:val="0"/>
              <w:widowControl/>
              <w:numPr>
                <w:ilvl w:val="0"/>
                <w:numId w:val="9"/>
              </w:numPr>
              <w:kinsoku/>
              <w:wordWrap/>
              <w:overflowPunct/>
              <w:topLinePunct w:val="0"/>
              <w:autoSpaceDE/>
              <w:autoSpaceDN/>
              <w:bidi w:val="0"/>
              <w:adjustRightInd/>
              <w:snapToGrid/>
              <w:spacing w:after="0"/>
              <w:contextualSpacing/>
              <w:jc w:val="both"/>
              <w:textAlignment w:val="auto"/>
              <w:rPr>
                <w:rFonts w:eastAsia="Malgun Gothic"/>
                <w:sz w:val="16"/>
                <w:szCs w:val="16"/>
                <w:lang w:eastAsia="zh-CN"/>
              </w:rPr>
            </w:pPr>
            <w:r>
              <w:rPr>
                <w:sz w:val="16"/>
                <w:szCs w:val="16"/>
                <w:lang w:eastAsia="ko-KR"/>
              </w:rPr>
              <w:t xml:space="preserve">RAN1 is </w:t>
            </w:r>
            <w:r>
              <w:rPr>
                <w:sz w:val="16"/>
                <w:szCs w:val="16"/>
                <w:highlight w:val="yellow"/>
                <w:lang w:eastAsia="ko-KR"/>
              </w:rPr>
              <w:t>still discussing</w:t>
            </w:r>
            <w:r>
              <w:rPr>
                <w:sz w:val="16"/>
                <w:szCs w:val="16"/>
                <w:lang w:eastAsia="ko-KR"/>
              </w:rPr>
              <w:t xml:space="preserve"> the relation in terms of time location between always-on SSB and OD-SSB.</w:t>
            </w:r>
          </w:p>
          <w:p>
            <w:pPr>
              <w:keepNext w:val="0"/>
              <w:keepLines w:val="0"/>
              <w:pageBreakBefore w:val="0"/>
              <w:widowControl/>
              <w:kinsoku/>
              <w:wordWrap/>
              <w:overflowPunct/>
              <w:topLinePunct w:val="0"/>
              <w:autoSpaceDE/>
              <w:autoSpaceDN/>
              <w:bidi w:val="0"/>
              <w:adjustRightInd/>
              <w:snapToGrid/>
              <w:contextualSpacing/>
              <w:jc w:val="both"/>
              <w:textAlignment w:val="auto"/>
              <w:rPr>
                <w:rFonts w:cs="Arial"/>
                <w:b/>
                <w:bCs/>
                <w:lang w:val="en-US" w:eastAsia="zh-CN"/>
              </w:rPr>
            </w:pPr>
          </w:p>
          <w:p>
            <w:pPr>
              <w:keepNext w:val="0"/>
              <w:keepLines w:val="0"/>
              <w:pageBreakBefore w:val="0"/>
              <w:widowControl/>
              <w:kinsoku/>
              <w:wordWrap/>
              <w:overflowPunct/>
              <w:topLinePunct w:val="0"/>
              <w:autoSpaceDE/>
              <w:autoSpaceDN/>
              <w:bidi w:val="0"/>
              <w:adjustRightInd/>
              <w:snapToGrid/>
              <w:contextualSpacing/>
              <w:jc w:val="both"/>
              <w:textAlignment w:val="auto"/>
              <w:rPr>
                <w:b/>
                <w:bCs/>
                <w:lang w:eastAsia="ko-KR"/>
              </w:rPr>
            </w:pPr>
            <w:r>
              <w:rPr>
                <w:rFonts w:cs="Arial"/>
                <w:b/>
                <w:bCs/>
                <w:lang w:val="en-US" w:eastAsia="zh-CN"/>
              </w:rPr>
              <w:t>Reply to Q</w:t>
            </w:r>
            <w:r>
              <w:rPr>
                <w:rFonts w:hint="eastAsia" w:cs="Arial"/>
                <w:b/>
                <w:bCs/>
                <w:lang w:val="en-US" w:eastAsia="ko-KR"/>
              </w:rPr>
              <w:t>3</w:t>
            </w:r>
            <w:r>
              <w:rPr>
                <w:rFonts w:cs="Arial"/>
                <w:b/>
                <w:bCs/>
                <w:lang w:val="en-US" w:eastAsia="zh-CN"/>
              </w:rPr>
              <w:t xml:space="preserve"> </w:t>
            </w:r>
            <w:r>
              <w:rPr>
                <w:rFonts w:hint="eastAsia" w:cs="Arial"/>
                <w:b/>
                <w:bCs/>
                <w:lang w:val="en-US" w:eastAsia="ko-KR"/>
              </w:rPr>
              <w:t>(</w:t>
            </w:r>
            <w:r>
              <w:rPr>
                <w:rFonts w:cs="Arial"/>
                <w:b/>
                <w:bCs/>
                <w:lang w:val="en-US" w:eastAsia="ko-KR"/>
              </w:rPr>
              <w:t>What is the relation in terms of frequency location between the always-on SSB and OD-SSB?</w:t>
            </w:r>
            <w:r>
              <w:rPr>
                <w:rFonts w:hint="eastAsia" w:cs="Arial"/>
                <w:b/>
                <w:bCs/>
                <w:lang w:val="en-US" w:eastAsia="ko-KR"/>
              </w:rPr>
              <w:t>):</w:t>
            </w:r>
          </w:p>
          <w:p>
            <w:pPr>
              <w:keepNext w:val="0"/>
              <w:keepLines w:val="0"/>
              <w:pageBreakBefore w:val="0"/>
              <w:widowControl/>
              <w:numPr>
                <w:ilvl w:val="0"/>
                <w:numId w:val="9"/>
              </w:numPr>
              <w:kinsoku/>
              <w:wordWrap/>
              <w:overflowPunct/>
              <w:topLinePunct w:val="0"/>
              <w:autoSpaceDE/>
              <w:autoSpaceDN/>
              <w:bidi w:val="0"/>
              <w:adjustRightInd/>
              <w:snapToGrid/>
              <w:contextualSpacing/>
              <w:jc w:val="both"/>
              <w:textAlignment w:val="auto"/>
              <w:rPr>
                <w:rFonts w:eastAsia="Malgun Gothic"/>
                <w:sz w:val="16"/>
                <w:szCs w:val="16"/>
                <w:lang w:eastAsia="zh-CN"/>
              </w:rPr>
            </w:pPr>
            <w:r>
              <w:rPr>
                <w:rFonts w:cs="Arial"/>
                <w:sz w:val="16"/>
                <w:szCs w:val="16"/>
                <w:lang w:eastAsia="zh-CN"/>
              </w:rPr>
              <w:t xml:space="preserve">The frequency location of on-demand SSB </w:t>
            </w:r>
            <w:r>
              <w:rPr>
                <w:rFonts w:hint="eastAsia" w:cs="Arial"/>
                <w:sz w:val="16"/>
                <w:szCs w:val="16"/>
                <w:lang w:eastAsia="ko-KR"/>
              </w:rPr>
              <w:t>is the</w:t>
            </w:r>
            <w:r>
              <w:rPr>
                <w:rFonts w:cs="Arial"/>
                <w:sz w:val="16"/>
                <w:szCs w:val="16"/>
                <w:lang w:eastAsia="zh-CN"/>
              </w:rPr>
              <w:t xml:space="preserve"> </w:t>
            </w:r>
            <w:r>
              <w:rPr>
                <w:rFonts w:cs="Arial"/>
                <w:sz w:val="16"/>
                <w:szCs w:val="16"/>
                <w:highlight w:val="yellow"/>
                <w:lang w:eastAsia="zh-CN"/>
              </w:rPr>
              <w:t xml:space="preserve">same </w:t>
            </w:r>
            <w:r>
              <w:rPr>
                <w:rFonts w:hint="eastAsia" w:cs="Arial"/>
                <w:sz w:val="16"/>
                <w:szCs w:val="16"/>
                <w:highlight w:val="yellow"/>
                <w:lang w:eastAsia="ko-KR"/>
              </w:rPr>
              <w:t>as</w:t>
            </w:r>
            <w:r>
              <w:rPr>
                <w:rFonts w:cs="Arial"/>
                <w:sz w:val="16"/>
                <w:szCs w:val="16"/>
                <w:lang w:eastAsia="zh-CN"/>
              </w:rPr>
              <w:t xml:space="preserve"> the frequency location of always-on SSB</w:t>
            </w:r>
            <w:r>
              <w:rPr>
                <w:rFonts w:cs="Arial"/>
                <w:sz w:val="16"/>
                <w:szCs w:val="16"/>
                <w:lang w:eastAsia="ko-KR"/>
              </w:rPr>
              <w:t xml:space="preserve"> at least for the case where always-on SSB is </w:t>
            </w:r>
            <w:r>
              <w:rPr>
                <w:rFonts w:cs="Arial"/>
                <w:sz w:val="16"/>
                <w:szCs w:val="16"/>
                <w:highlight w:val="yellow"/>
                <w:lang w:eastAsia="ko-KR"/>
              </w:rPr>
              <w:t>not CD-SSB</w:t>
            </w:r>
            <w:r>
              <w:rPr>
                <w:rFonts w:cs="Arial"/>
                <w:sz w:val="16"/>
                <w:szCs w:val="16"/>
                <w:lang w:eastAsia="ko-KR"/>
              </w:rPr>
              <w:t xml:space="preserve">. RAN1 </w:t>
            </w:r>
            <w:r>
              <w:rPr>
                <w:rFonts w:cs="Arial"/>
                <w:sz w:val="16"/>
                <w:szCs w:val="16"/>
                <w:highlight w:val="yellow"/>
                <w:lang w:eastAsia="ko-KR"/>
              </w:rPr>
              <w:t>is discussing</w:t>
            </w:r>
            <w:r>
              <w:rPr>
                <w:rFonts w:cs="Arial"/>
                <w:sz w:val="16"/>
                <w:szCs w:val="16"/>
                <w:lang w:eastAsia="ko-KR"/>
              </w:rPr>
              <w:t xml:space="preserve"> the frequency location of OD-SSB for the case where always-on SSB is </w:t>
            </w:r>
            <w:r>
              <w:rPr>
                <w:rFonts w:cs="Arial"/>
                <w:sz w:val="16"/>
                <w:szCs w:val="16"/>
                <w:highlight w:val="yellow"/>
                <w:lang w:eastAsia="ko-KR"/>
              </w:rPr>
              <w:t>CD-SSB</w:t>
            </w:r>
            <w:r>
              <w:rPr>
                <w:rFonts w:cs="Arial"/>
                <w:sz w:val="16"/>
                <w:szCs w:val="16"/>
                <w:lang w:eastAsia="ko-KR"/>
              </w:rPr>
              <w:t>.</w:t>
            </w:r>
          </w:p>
          <w:p>
            <w:pPr>
              <w:keepNext w:val="0"/>
              <w:keepLines w:val="0"/>
              <w:pageBreakBefore w:val="0"/>
              <w:widowControl/>
              <w:kinsoku/>
              <w:wordWrap/>
              <w:overflowPunct/>
              <w:topLinePunct w:val="0"/>
              <w:autoSpaceDE/>
              <w:autoSpaceDN/>
              <w:bidi w:val="0"/>
              <w:adjustRightInd/>
              <w:snapToGrid/>
              <w:ind w:left="720"/>
              <w:contextualSpacing/>
              <w:jc w:val="both"/>
              <w:textAlignment w:val="auto"/>
              <w:rPr>
                <w:rFonts w:eastAsia="Malgun Gothic"/>
                <w:lang w:eastAsia="zh-CN"/>
              </w:rPr>
            </w:pPr>
          </w:p>
          <w:p>
            <w:pPr>
              <w:keepNext w:val="0"/>
              <w:keepLines w:val="0"/>
              <w:pageBreakBefore w:val="0"/>
              <w:widowControl/>
              <w:kinsoku/>
              <w:wordWrap/>
              <w:overflowPunct/>
              <w:topLinePunct w:val="0"/>
              <w:autoSpaceDE/>
              <w:autoSpaceDN/>
              <w:bidi w:val="0"/>
              <w:adjustRightInd/>
              <w:snapToGrid/>
              <w:contextualSpacing/>
              <w:jc w:val="both"/>
              <w:textAlignment w:val="auto"/>
              <w:rPr>
                <w:b/>
                <w:bCs/>
                <w:lang w:eastAsia="ko-KR"/>
              </w:rPr>
            </w:pPr>
            <w:r>
              <w:rPr>
                <w:rFonts w:cs="Arial"/>
                <w:b/>
                <w:bCs/>
                <w:lang w:val="en-US" w:eastAsia="zh-CN"/>
              </w:rPr>
              <w:t>Reply to Q</w:t>
            </w:r>
            <w:r>
              <w:rPr>
                <w:rFonts w:hint="eastAsia" w:cs="Arial"/>
                <w:b/>
                <w:bCs/>
                <w:lang w:val="en-US" w:eastAsia="ko-KR"/>
              </w:rPr>
              <w:t>4</w:t>
            </w:r>
            <w:r>
              <w:rPr>
                <w:rFonts w:cs="Arial"/>
                <w:b/>
                <w:bCs/>
                <w:lang w:val="en-US" w:eastAsia="zh-CN"/>
              </w:rPr>
              <w:t xml:space="preserve"> </w:t>
            </w:r>
            <w:r>
              <w:rPr>
                <w:rFonts w:hint="eastAsia" w:cs="Arial"/>
                <w:b/>
                <w:bCs/>
                <w:lang w:val="en-US" w:eastAsia="ko-KR"/>
              </w:rPr>
              <w:t>(</w:t>
            </w:r>
            <w:r>
              <w:rPr>
                <w:rFonts w:cs="Arial"/>
                <w:b/>
                <w:bCs/>
                <w:lang w:val="en-US" w:eastAsia="ko-KR"/>
              </w:rPr>
              <w:t>What is the spatial relation between the always-on SSB and OD-SSB?</w:t>
            </w:r>
            <w:r>
              <w:rPr>
                <w:rFonts w:hint="eastAsia" w:cs="Arial"/>
                <w:b/>
                <w:bCs/>
                <w:lang w:val="en-US" w:eastAsia="ko-KR"/>
              </w:rPr>
              <w:t>):</w:t>
            </w:r>
          </w:p>
          <w:p>
            <w:pPr>
              <w:keepNext w:val="0"/>
              <w:keepLines w:val="0"/>
              <w:pageBreakBefore w:val="0"/>
              <w:widowControl/>
              <w:numPr>
                <w:ilvl w:val="0"/>
                <w:numId w:val="9"/>
              </w:numPr>
              <w:kinsoku/>
              <w:wordWrap/>
              <w:overflowPunct/>
              <w:topLinePunct w:val="0"/>
              <w:autoSpaceDE/>
              <w:autoSpaceDN/>
              <w:bidi w:val="0"/>
              <w:adjustRightInd/>
              <w:snapToGrid/>
              <w:spacing w:after="0"/>
              <w:contextualSpacing/>
              <w:jc w:val="both"/>
              <w:textAlignment w:val="auto"/>
              <w:rPr>
                <w:rFonts w:eastAsia="Malgun Gothic"/>
                <w:sz w:val="16"/>
                <w:szCs w:val="16"/>
                <w:lang w:eastAsia="zh-CN"/>
              </w:rPr>
            </w:pPr>
            <w:r>
              <w:rPr>
                <w:rFonts w:cs="Arial"/>
                <w:sz w:val="16"/>
                <w:szCs w:val="16"/>
                <w:lang w:eastAsia="zh-CN"/>
              </w:rPr>
              <w:t>SS</w:t>
            </w:r>
            <w:r>
              <w:rPr>
                <w:rFonts w:hint="eastAsia" w:cs="Arial"/>
                <w:sz w:val="16"/>
                <w:szCs w:val="16"/>
                <w:lang w:eastAsia="ko-KR"/>
              </w:rPr>
              <w:t>/P</w:t>
            </w:r>
            <w:r>
              <w:rPr>
                <w:rFonts w:cs="Arial"/>
                <w:sz w:val="16"/>
                <w:szCs w:val="16"/>
                <w:lang w:eastAsia="zh-CN"/>
              </w:rPr>
              <w:t>B</w:t>
            </w:r>
            <w:r>
              <w:rPr>
                <w:rFonts w:hint="eastAsia" w:cs="Arial"/>
                <w:sz w:val="16"/>
                <w:szCs w:val="16"/>
                <w:lang w:eastAsia="ko-KR"/>
              </w:rPr>
              <w:t>CH block</w:t>
            </w:r>
            <w:r>
              <w:rPr>
                <w:rFonts w:cs="Arial"/>
                <w:sz w:val="16"/>
                <w:szCs w:val="16"/>
                <w:lang w:eastAsia="zh-CN"/>
              </w:rPr>
              <w:t xml:space="preserve">s </w:t>
            </w:r>
            <w:r>
              <w:rPr>
                <w:rFonts w:hint="eastAsia" w:cs="Arial"/>
                <w:sz w:val="16"/>
                <w:szCs w:val="16"/>
                <w:lang w:eastAsia="ko-KR"/>
              </w:rPr>
              <w:t xml:space="preserve">with the same SSB indexes for </w:t>
            </w:r>
            <w:r>
              <w:rPr>
                <w:rFonts w:cs="Arial"/>
                <w:sz w:val="16"/>
                <w:szCs w:val="16"/>
                <w:lang w:eastAsia="ko-KR"/>
              </w:rPr>
              <w:t>always</w:t>
            </w:r>
            <w:r>
              <w:rPr>
                <w:rFonts w:hint="eastAsia" w:cs="Arial"/>
                <w:sz w:val="16"/>
                <w:szCs w:val="16"/>
                <w:lang w:eastAsia="ko-KR"/>
              </w:rPr>
              <w:t xml:space="preserve">-on SSB and on-demand SSB </w:t>
            </w:r>
            <w:r>
              <w:rPr>
                <w:rFonts w:cs="Arial"/>
                <w:sz w:val="16"/>
                <w:szCs w:val="16"/>
                <w:lang w:eastAsia="zh-CN"/>
              </w:rPr>
              <w:t>are quasi co-located</w:t>
            </w:r>
            <w:r>
              <w:rPr>
                <w:rFonts w:cs="Arial"/>
                <w:sz w:val="16"/>
                <w:szCs w:val="16"/>
                <w:lang w:eastAsia="ko-KR"/>
              </w:rPr>
              <w:t xml:space="preserve"> with respect to Doppler spread, Doppler shift, average gain, average delay, delay spread, and when applicable, spatial RX parameters</w:t>
            </w:r>
            <w:r>
              <w:rPr>
                <w:rFonts w:cs="Arial"/>
                <w:sz w:val="16"/>
                <w:szCs w:val="16"/>
                <w:lang w:eastAsia="zh-CN"/>
              </w:rPr>
              <w:t>.</w:t>
            </w:r>
            <w:r>
              <w:rPr>
                <w:rFonts w:hint="eastAsia" w:cs="Arial"/>
                <w:sz w:val="16"/>
                <w:szCs w:val="16"/>
                <w:lang w:val="en-US" w:eastAsia="zh-CN"/>
              </w:rPr>
              <w:t xml:space="preserve"> </w:t>
            </w:r>
          </w:p>
          <w:p>
            <w:pPr>
              <w:keepNext w:val="0"/>
              <w:keepLines w:val="0"/>
              <w:pageBreakBefore w:val="0"/>
              <w:widowControl/>
              <w:numPr>
                <w:ilvl w:val="1"/>
                <w:numId w:val="9"/>
              </w:numPr>
              <w:kinsoku/>
              <w:wordWrap/>
              <w:overflowPunct/>
              <w:topLinePunct w:val="0"/>
              <w:autoSpaceDE/>
              <w:autoSpaceDN/>
              <w:bidi w:val="0"/>
              <w:adjustRightInd/>
              <w:snapToGrid/>
              <w:spacing w:after="0"/>
              <w:contextualSpacing/>
              <w:jc w:val="both"/>
              <w:textAlignment w:val="auto"/>
              <w:rPr>
                <w:rFonts w:eastAsia="Malgun Gothic"/>
                <w:sz w:val="16"/>
                <w:szCs w:val="16"/>
                <w:lang w:eastAsia="zh-CN"/>
              </w:rPr>
            </w:pPr>
            <w:r>
              <w:rPr>
                <w:rFonts w:cs="Arial"/>
                <w:sz w:val="16"/>
                <w:szCs w:val="16"/>
                <w:lang w:eastAsia="zh-CN"/>
              </w:rPr>
              <w:t>Applies at least for the case when the</w:t>
            </w:r>
            <w:r>
              <w:rPr>
                <w:rFonts w:cs="Arial"/>
                <w:sz w:val="16"/>
                <w:szCs w:val="16"/>
                <w:highlight w:val="yellow"/>
                <w:lang w:eastAsia="zh-CN"/>
              </w:rPr>
              <w:t xml:space="preserve"> centre frequency</w:t>
            </w:r>
            <w:r>
              <w:rPr>
                <w:rFonts w:cs="Arial"/>
                <w:sz w:val="16"/>
                <w:szCs w:val="16"/>
                <w:lang w:eastAsia="zh-CN"/>
              </w:rPr>
              <w:t xml:space="preserve"> locations of always-on SSB and OD-SSB </w:t>
            </w:r>
            <w:r>
              <w:rPr>
                <w:rFonts w:cs="Arial"/>
                <w:sz w:val="16"/>
                <w:szCs w:val="16"/>
                <w:highlight w:val="yellow"/>
                <w:lang w:eastAsia="zh-CN"/>
              </w:rPr>
              <w:t>is same</w:t>
            </w:r>
          </w:p>
          <w:p>
            <w:pPr>
              <w:keepNext w:val="0"/>
              <w:keepLines w:val="0"/>
              <w:pageBreakBefore w:val="0"/>
              <w:widowControl/>
              <w:numPr>
                <w:ilvl w:val="0"/>
                <w:numId w:val="9"/>
              </w:numPr>
              <w:kinsoku/>
              <w:wordWrap/>
              <w:overflowPunct/>
              <w:topLinePunct w:val="0"/>
              <w:autoSpaceDE/>
              <w:autoSpaceDN/>
              <w:bidi w:val="0"/>
              <w:adjustRightInd/>
              <w:snapToGrid/>
              <w:spacing w:after="0"/>
              <w:contextualSpacing/>
              <w:jc w:val="both"/>
              <w:textAlignment w:val="auto"/>
              <w:rPr>
                <w:rFonts w:eastAsia="Malgun Gothic"/>
                <w:sz w:val="16"/>
                <w:szCs w:val="16"/>
                <w:lang w:eastAsia="zh-CN"/>
              </w:rPr>
            </w:pPr>
            <w:r>
              <w:rPr>
                <w:rFonts w:cs="Arial"/>
                <w:sz w:val="16"/>
                <w:szCs w:val="16"/>
                <w:lang w:eastAsia="ko-KR"/>
              </w:rPr>
              <w:t>When a</w:t>
            </w:r>
            <w:r>
              <w:rPr>
                <w:rFonts w:hint="eastAsia" w:cs="Arial"/>
                <w:sz w:val="16"/>
                <w:szCs w:val="16"/>
                <w:lang w:eastAsia="ko-KR"/>
              </w:rPr>
              <w:t xml:space="preserve"> signal/channel </w:t>
            </w:r>
            <w:r>
              <w:rPr>
                <w:rFonts w:cs="Arial"/>
                <w:sz w:val="16"/>
                <w:szCs w:val="16"/>
                <w:lang w:eastAsia="ko-KR"/>
              </w:rPr>
              <w:t xml:space="preserve">is configured to be QCLed with a SSB index, the signal/channel is </w:t>
            </w:r>
            <w:r>
              <w:rPr>
                <w:rFonts w:hint="eastAsia" w:cs="Arial"/>
                <w:sz w:val="16"/>
                <w:szCs w:val="16"/>
                <w:lang w:eastAsia="ko-KR"/>
              </w:rPr>
              <w:t xml:space="preserve">QCLed with </w:t>
            </w:r>
            <w:r>
              <w:rPr>
                <w:rFonts w:cs="Arial"/>
                <w:sz w:val="16"/>
                <w:szCs w:val="16"/>
                <w:lang w:eastAsia="ko-KR"/>
              </w:rPr>
              <w:t>the same SSB index of always</w:t>
            </w:r>
            <w:r>
              <w:rPr>
                <w:rFonts w:hint="eastAsia" w:cs="Arial"/>
                <w:sz w:val="16"/>
                <w:szCs w:val="16"/>
                <w:lang w:eastAsia="ko-KR"/>
              </w:rPr>
              <w:t>-</w:t>
            </w:r>
            <w:r>
              <w:rPr>
                <w:rFonts w:hint="eastAsia" w:eastAsia="Malgun Gothic"/>
                <w:sz w:val="16"/>
                <w:szCs w:val="16"/>
                <w:lang w:eastAsia="ko-KR"/>
              </w:rPr>
              <w:t xml:space="preserve">on SSB </w:t>
            </w:r>
            <w:r>
              <w:rPr>
                <w:rFonts w:eastAsia="Malgun Gothic"/>
                <w:sz w:val="16"/>
                <w:szCs w:val="16"/>
                <w:lang w:eastAsia="ko-KR"/>
              </w:rPr>
              <w:t xml:space="preserve">and </w:t>
            </w:r>
            <w:r>
              <w:rPr>
                <w:rFonts w:hint="eastAsia" w:eastAsia="Malgun Gothic"/>
                <w:sz w:val="16"/>
                <w:szCs w:val="16"/>
                <w:lang w:eastAsia="ko-KR"/>
              </w:rPr>
              <w:t>on-demand SSB (if transmitted)</w:t>
            </w:r>
            <w:r>
              <w:rPr>
                <w:rFonts w:eastAsia="Malgun Gothic"/>
                <w:sz w:val="16"/>
                <w:szCs w:val="16"/>
                <w:lang w:eastAsia="ko-KR"/>
              </w:rPr>
              <w:t xml:space="preserve"> with the same QCL parameters according to existing specifications</w:t>
            </w:r>
          </w:p>
          <w:p>
            <w:pPr>
              <w:keepNext w:val="0"/>
              <w:keepLines w:val="0"/>
              <w:pageBreakBefore w:val="0"/>
              <w:widowControl/>
              <w:numPr>
                <w:ilvl w:val="1"/>
                <w:numId w:val="9"/>
              </w:numPr>
              <w:kinsoku/>
              <w:wordWrap/>
              <w:overflowPunct/>
              <w:topLinePunct w:val="0"/>
              <w:autoSpaceDE/>
              <w:autoSpaceDN/>
              <w:bidi w:val="0"/>
              <w:adjustRightInd/>
              <w:snapToGrid/>
              <w:spacing w:after="0"/>
              <w:contextualSpacing/>
              <w:jc w:val="both"/>
              <w:textAlignment w:val="auto"/>
              <w:rPr>
                <w:rFonts w:eastAsia="Malgun Gothic"/>
                <w:sz w:val="16"/>
                <w:szCs w:val="16"/>
                <w:lang w:eastAsia="zh-CN"/>
              </w:rPr>
            </w:pPr>
            <w:r>
              <w:rPr>
                <w:rFonts w:eastAsia="Malgun Gothic"/>
                <w:sz w:val="16"/>
                <w:szCs w:val="16"/>
                <w:lang w:eastAsia="zh-CN"/>
              </w:rPr>
              <w:t>Applies at least for the case when the centre frequency locations of always-on SSB and OD-SSB is same</w:t>
            </w:r>
          </w:p>
          <w:p>
            <w:pPr>
              <w:keepNext w:val="0"/>
              <w:keepLines w:val="0"/>
              <w:pageBreakBefore w:val="0"/>
              <w:widowControl/>
              <w:numPr>
                <w:ilvl w:val="0"/>
                <w:numId w:val="9"/>
              </w:numPr>
              <w:kinsoku/>
              <w:wordWrap/>
              <w:overflowPunct/>
              <w:topLinePunct w:val="0"/>
              <w:autoSpaceDE/>
              <w:autoSpaceDN/>
              <w:bidi w:val="0"/>
              <w:adjustRightInd/>
              <w:snapToGrid/>
              <w:spacing w:after="0"/>
              <w:contextualSpacing/>
              <w:jc w:val="both"/>
              <w:textAlignment w:val="auto"/>
              <w:rPr>
                <w:rFonts w:hint="default"/>
                <w:vertAlign w:val="baseline"/>
                <w:lang w:val="en-US" w:eastAsia="zh-CN"/>
              </w:rPr>
            </w:pPr>
            <w:r>
              <w:rPr>
                <w:rFonts w:hint="eastAsia" w:cs="Arial"/>
                <w:sz w:val="16"/>
                <w:szCs w:val="16"/>
                <w:highlight w:val="yellow"/>
                <w:lang w:eastAsia="ko-KR"/>
              </w:rPr>
              <w:t xml:space="preserve">At least the case where SSB indices within on-demand SSB burst are identical to SSB indices within </w:t>
            </w:r>
            <w:r>
              <w:rPr>
                <w:rFonts w:cs="Arial"/>
                <w:sz w:val="16"/>
                <w:szCs w:val="16"/>
                <w:highlight w:val="yellow"/>
                <w:lang w:eastAsia="ko-KR"/>
              </w:rPr>
              <w:t>always</w:t>
            </w:r>
            <w:r>
              <w:rPr>
                <w:rFonts w:hint="eastAsia" w:cs="Arial"/>
                <w:sz w:val="16"/>
                <w:szCs w:val="16"/>
                <w:highlight w:val="yellow"/>
                <w:lang w:eastAsia="ko-KR"/>
              </w:rPr>
              <w:t>-on SSB burst is supported.</w:t>
            </w:r>
            <w:r>
              <w:rPr>
                <w:rFonts w:hint="eastAsia" w:cs="Arial"/>
                <w:sz w:val="16"/>
                <w:szCs w:val="16"/>
                <w:lang w:eastAsia="ko-KR"/>
              </w:rPr>
              <w:t xml:space="preserve"> RAN1 is discussing whether to support the case where SSB indices within on-demand SSB burst can be subset of SSB indices within </w:t>
            </w:r>
            <w:r>
              <w:rPr>
                <w:rFonts w:cs="Arial"/>
                <w:sz w:val="16"/>
                <w:szCs w:val="16"/>
                <w:lang w:eastAsia="ko-KR"/>
              </w:rPr>
              <w:t>always</w:t>
            </w:r>
            <w:r>
              <w:rPr>
                <w:rFonts w:hint="eastAsia" w:cs="Arial"/>
                <w:sz w:val="16"/>
                <w:szCs w:val="16"/>
                <w:lang w:eastAsia="ko-KR"/>
              </w:rPr>
              <w:t>-on SSB burst.</w:t>
            </w:r>
          </w:p>
        </w:tc>
      </w:tr>
    </w:tbl>
    <w:p>
      <w:pPr>
        <w:pStyle w:val="9"/>
        <w:keepNext w:val="0"/>
        <w:keepLines w:val="0"/>
        <w:pageBreakBefore w:val="0"/>
        <w:widowControl/>
        <w:kinsoku/>
        <w:wordWrap/>
        <w:overflowPunct/>
        <w:topLinePunct w:val="0"/>
        <w:autoSpaceDE/>
        <w:autoSpaceDN/>
        <w:bidi w:val="0"/>
        <w:adjustRightInd/>
        <w:snapToGrid/>
        <w:spacing w:before="120" w:after="0"/>
        <w:jc w:val="both"/>
        <w:textAlignment w:val="auto"/>
        <w:rPr>
          <w:rFonts w:hint="eastAsia"/>
          <w:lang w:val="en-US" w:eastAsia="zh-CN"/>
        </w:rPr>
      </w:pPr>
      <w:r>
        <w:rPr>
          <w:rFonts w:hint="eastAsia"/>
          <w:lang w:val="en-US" w:eastAsia="zh-CN"/>
        </w:rPr>
        <w:t>It can be seen the ongoing RAN1 discussion is still held on several points. So we can first determine requirements for the RAN1 confirmed cases. We listed all possible sub-cases based on RAN1 confirmation.</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jc w:val="both"/>
        <w:textAlignment w:val="auto"/>
        <w:rPr>
          <w:rFonts w:hint="default"/>
          <w:lang w:val="en-US" w:eastAsia="zh-CN"/>
        </w:rPr>
      </w:pPr>
      <w:r>
        <w:rPr>
          <w:rFonts w:hint="eastAsia"/>
          <w:lang w:val="en-US" w:eastAsia="zh-CN"/>
        </w:rPr>
        <w:t>Case 2-1: same periodicity, different time location, same frequency, same QCL</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jc w:val="both"/>
        <w:textAlignment w:val="auto"/>
        <w:rPr>
          <w:rFonts w:hint="default"/>
          <w:lang w:val="en-US" w:eastAsia="zh-CN"/>
        </w:rPr>
      </w:pPr>
      <w:r>
        <w:rPr>
          <w:rFonts w:hint="eastAsia"/>
          <w:lang w:val="en-US" w:eastAsia="zh-CN"/>
        </w:rPr>
        <w:t xml:space="preserve">Case 2-2: different periodicity and on-demand SSB is smaller, same time location, same frequency, same QCL </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jc w:val="both"/>
        <w:textAlignment w:val="auto"/>
        <w:rPr>
          <w:rFonts w:hint="eastAsia"/>
          <w:lang w:val="en-US" w:eastAsia="zh-CN"/>
        </w:rPr>
      </w:pPr>
      <w:r>
        <w:rPr>
          <w:rFonts w:hint="eastAsia"/>
          <w:lang w:val="en-US" w:eastAsia="zh-CN"/>
        </w:rPr>
        <w:t>Case 2-3: different periodicity and on-demand SSB is smaller, different time location, same frequency, same QCL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The general solution defined in Case #1 could be referred to, i.e. after the activation of on-demand SSB and not later than the deactivation of on-demand SSB, the UE could firstly enter to the fast measurement window and then fallback to legacy behavior after the fast measurement window.</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7: For Case #2, similar general solution as Case #1 could be reused, UE perform fast measurement within the fast window and then fallback to legacy behavior after the fast window.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Regarding the details of the fast measurement within the window, we discuss for all sub-cases one by one. For Case 2-1, a typical configuration is the on-demand SSB and always-on SSB constitute a half periodicity pattern with same interval between two adjacent SSB occasions. Under this case, the actual SSB periodicity is half of the configured periodicity, so the combination between on-demand SSB and always-on SSB could obviously reduce the measurement period. So UE should perform cell detection and measurement on both on-demand SSB and always-on SSB as long as the on-demand SSB is activated.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For Case 2-2, under this case, actually the always-on SSB occasions are completely covered by the on-demand SSB, so it does not matter whether to combine with always-on SSB, only determining the measurement period based on the on-demand SSB is fine.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Case 2-3, due to different time location, so it is probably the on-demand SSB would not overlap with always-on SSB, and the whole picture of all SSB occasions including on-demand and always-on may be a non-uniform pattern. Even different intervals exist, combination of both on-demand SSB and always-on SSB still benefit to the measurement period reduction.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8: For Case #2, at least when same frequency and same QCL are assumed between on-demand and always-on SSB, within the fast measurement window, combination of the two types of SSB benefits the measurement period reduction.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In last meeting, some company raised the view of distinguish known and unknown cases for Case #2 and specify different UE behavior as below:</w:t>
      </w:r>
    </w:p>
    <w:p>
      <w:pPr>
        <w:pStyle w:val="29"/>
        <w:numPr>
          <w:ilvl w:val="0"/>
          <w:numId w:val="7"/>
        </w:numPr>
        <w:overflowPunct/>
        <w:autoSpaceDE/>
        <w:adjustRightInd/>
        <w:spacing w:after="120"/>
        <w:ind w:firstLineChars="0"/>
        <w:jc w:val="both"/>
        <w:textAlignment w:val="auto"/>
        <w:rPr>
          <w:rFonts w:eastAsia="宋体"/>
          <w:color w:val="auto"/>
          <w:szCs w:val="24"/>
          <w:lang w:eastAsia="zh-CN"/>
        </w:rPr>
      </w:pPr>
      <w:r>
        <w:rPr>
          <w:rFonts w:hint="eastAsia" w:eastAsiaTheme="minorEastAsia"/>
          <w:iCs/>
          <w:color w:val="auto"/>
          <w:szCs w:val="22"/>
          <w:lang w:eastAsia="zh-CN"/>
        </w:rPr>
        <w:t>Option 3: T</w:t>
      </w:r>
      <w:r>
        <w:rPr>
          <w:iCs/>
          <w:color w:val="auto"/>
          <w:szCs w:val="22"/>
        </w:rPr>
        <w:t>he same approach in Case 1 can be reused</w:t>
      </w:r>
      <w:r>
        <w:rPr>
          <w:rFonts w:hint="eastAsia" w:eastAsiaTheme="minorEastAsia"/>
          <w:iCs/>
          <w:color w:val="auto"/>
          <w:szCs w:val="22"/>
          <w:lang w:eastAsia="zh-CN"/>
        </w:rPr>
        <w:t xml:space="preserve"> if </w:t>
      </w:r>
      <w:r>
        <w:rPr>
          <w:color w:val="auto"/>
        </w:rPr>
        <w:t xml:space="preserve">the serving cell </w:t>
      </w:r>
      <w:r>
        <w:rPr>
          <w:rFonts w:hint="eastAsia" w:eastAsiaTheme="minorEastAsia"/>
          <w:color w:val="auto"/>
          <w:lang w:eastAsia="zh-CN"/>
        </w:rPr>
        <w:t xml:space="preserve">is </w:t>
      </w:r>
      <w:r>
        <w:rPr>
          <w:color w:val="auto"/>
        </w:rPr>
        <w:t>unknown</w:t>
      </w:r>
      <w:r>
        <w:rPr>
          <w:rFonts w:hint="eastAsia" w:eastAsiaTheme="minorEastAsia"/>
          <w:color w:val="auto"/>
          <w:lang w:eastAsia="zh-CN"/>
        </w:rPr>
        <w:t xml:space="preserve">. UE follows legacy </w:t>
      </w:r>
      <w:r>
        <w:rPr>
          <w:color w:val="auto"/>
        </w:rPr>
        <w:t xml:space="preserve">requirements based on </w:t>
      </w:r>
      <w:r>
        <w:rPr>
          <w:i/>
          <w:iCs/>
          <w:color w:val="auto"/>
          <w:lang w:val="en-US"/>
        </w:rPr>
        <w:t>measCycleSCell</w:t>
      </w:r>
      <w:r>
        <w:rPr>
          <w:rFonts w:hint="eastAsia" w:eastAsiaTheme="minorEastAsia"/>
          <w:i/>
          <w:iCs/>
          <w:color w:val="auto"/>
          <w:lang w:val="en-US" w:eastAsia="zh-CN"/>
        </w:rPr>
        <w:t xml:space="preserve"> </w:t>
      </w:r>
      <w:r>
        <w:rPr>
          <w:rFonts w:hint="eastAsia" w:eastAsiaTheme="minorEastAsia"/>
          <w:iCs/>
          <w:color w:val="auto"/>
          <w:szCs w:val="22"/>
          <w:lang w:eastAsia="zh-CN"/>
        </w:rPr>
        <w:t xml:space="preserve">if </w:t>
      </w:r>
      <w:r>
        <w:rPr>
          <w:color w:val="auto"/>
        </w:rPr>
        <w:t xml:space="preserve">the serving cell </w:t>
      </w:r>
      <w:r>
        <w:rPr>
          <w:rFonts w:hint="eastAsia" w:eastAsiaTheme="minorEastAsia"/>
          <w:color w:val="auto"/>
          <w:lang w:eastAsia="zh-CN"/>
        </w:rPr>
        <w:t xml:space="preserve">is already </w:t>
      </w:r>
      <w:r>
        <w:rPr>
          <w:color w:val="auto"/>
        </w:rPr>
        <w:t>known</w:t>
      </w:r>
      <w:r>
        <w:rPr>
          <w:rFonts w:hint="eastAsia" w:eastAsiaTheme="minorEastAsia"/>
          <w:color w:val="auto"/>
          <w:lang w:eastAsia="zh-CN"/>
        </w:rPr>
        <w: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We can understand the intention behind this idea but we concern on this. Firstly, whether the UE is known or unknown, it is unknowable at NW side. The known case only implies NW has received measurement report from UE recently, it does not mean the deactivated SCell will be activated immediately or after a while. A possible situation is even for the known deactivated SCell, the NW still expect the UE to perform a quick measurement to facilitate NW to choose a best deactivated SCell to activate immediately if multiple deactivated SCells are known. Of course if NW believes the decision of SCell activation could be done without any triggering of quick measurement, then no on-demand SSB would be activated. After all, the useless dense SSB transmission is no beneficial to NW power saving. As a result, we prefer not to distinguish the known and unknown cases under Case #2, just follow a uniform principle to specify the UE measurement.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Furthermore, if the distinguish of known and unknown are allowed, then the SSB measured for known condition and the SSB used in later measurement should be clarified, it is a bit complicated for the deactivated SCell measurement.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9: For Case #2, specify a uniform principle to specify the measurement instead of distinguish known and unknown cases.</w:t>
      </w:r>
    </w:p>
    <w:p>
      <w:pPr>
        <w:pStyle w:val="3"/>
        <w:bidi w:val="0"/>
        <w:rPr>
          <w:rFonts w:hint="eastAsia"/>
          <w:lang w:val="en-US" w:eastAsia="zh-CN"/>
        </w:rPr>
      </w:pPr>
      <w:r>
        <w:rPr>
          <w:rFonts w:hint="eastAsia"/>
          <w:lang w:val="en-US" w:eastAsia="zh-CN"/>
        </w:rPr>
        <w:t>2.3 Consideration on the phase of SCell activation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In last meeting, some general principle of known condition was determined, but some clarification on the relation of SSB measured for known condition and the SSB used in SCell activation procedure is needed. For the case of same frequency and same QCL, no need to clarify. But for the case of different frequency and/or different QCL, it is necessary to clarify that the SSB measured for known condition should be aligned with the SSB used in SCell activation procedure.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 xml:space="preserve">Proposal 10: For Case #2, to specify known condition, under the case of different frequency and/or different QCL, it should be clarified that the SSB measured for known condition should be aligned with the SSB used in SCell activation procedure.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utoSpaceDN w:val="0"/>
              <w:snapToGrid w:val="0"/>
              <w:rPr>
                <w:color w:val="auto"/>
                <w:sz w:val="21"/>
                <w:szCs w:val="21"/>
                <w:highlight w:val="green"/>
              </w:rPr>
            </w:pPr>
            <w:r>
              <w:rPr>
                <w:rFonts w:hint="eastAsia"/>
                <w:color w:val="auto"/>
                <w:sz w:val="21"/>
                <w:szCs w:val="21"/>
                <w:highlight w:val="green"/>
                <w:lang w:eastAsia="zh-CN"/>
              </w:rPr>
              <w:t>Agre</w:t>
            </w:r>
            <w:r>
              <w:rPr>
                <w:color w:val="auto"/>
                <w:sz w:val="21"/>
                <w:szCs w:val="21"/>
                <w:highlight w:val="green"/>
              </w:rPr>
              <w:t xml:space="preserve">ement: </w:t>
            </w:r>
          </w:p>
          <w:p>
            <w:pPr>
              <w:pStyle w:val="29"/>
              <w:numPr>
                <w:ilvl w:val="0"/>
                <w:numId w:val="7"/>
              </w:numPr>
              <w:overflowPunct/>
              <w:autoSpaceDE/>
              <w:adjustRightInd/>
              <w:snapToGrid w:val="0"/>
              <w:spacing w:after="120"/>
              <w:ind w:firstLineChars="0"/>
              <w:jc w:val="both"/>
              <w:textAlignment w:val="auto"/>
              <w:rPr>
                <w:color w:val="auto"/>
                <w:szCs w:val="21"/>
              </w:rPr>
            </w:pPr>
            <w:r>
              <w:rPr>
                <w:color w:val="auto"/>
                <w:szCs w:val="21"/>
              </w:rPr>
              <w:t xml:space="preserve">In Case 1, the SCell activation delay requirement is defined based on OD-SSB periodicity. </w:t>
            </w:r>
          </w:p>
          <w:p>
            <w:pPr>
              <w:pStyle w:val="29"/>
              <w:numPr>
                <w:ilvl w:val="1"/>
                <w:numId w:val="7"/>
              </w:numPr>
              <w:overflowPunct/>
              <w:autoSpaceDE/>
              <w:adjustRightInd/>
              <w:snapToGrid w:val="0"/>
              <w:spacing w:after="120"/>
              <w:ind w:firstLineChars="0"/>
              <w:jc w:val="both"/>
              <w:textAlignment w:val="auto"/>
              <w:rPr>
                <w:color w:val="auto"/>
                <w:szCs w:val="21"/>
              </w:rPr>
            </w:pPr>
            <w:r>
              <w:rPr>
                <w:color w:val="auto"/>
                <w:szCs w:val="21"/>
              </w:rPr>
              <w:t>Existing SCell activation delay requirement shall apply based on OD-SSB periodicity.</w:t>
            </w:r>
          </w:p>
          <w:p>
            <w:pPr>
              <w:pStyle w:val="29"/>
              <w:numPr>
                <w:ilvl w:val="0"/>
                <w:numId w:val="7"/>
              </w:numPr>
              <w:overflowPunct/>
              <w:autoSpaceDE/>
              <w:adjustRightInd/>
              <w:snapToGrid w:val="0"/>
              <w:spacing w:after="120"/>
              <w:ind w:firstLineChars="0"/>
              <w:jc w:val="both"/>
              <w:textAlignment w:val="auto"/>
              <w:rPr>
                <w:color w:val="auto"/>
                <w:szCs w:val="21"/>
              </w:rPr>
            </w:pPr>
            <w:r>
              <w:rPr>
                <w:color w:val="auto"/>
                <w:szCs w:val="21"/>
              </w:rPr>
              <w:t>In Case 2, RAN4 to define the SCell activation delay requirement based on OD-SSB periodicity if the time instance receiving OD-SSB activation indication is no later than the time instance when receiving the SCell activation command. Otherwise, RAN4 to define the requirement based on always-on SSB for SCell activation.</w:t>
            </w:r>
          </w:p>
          <w:p>
            <w:pPr>
              <w:pStyle w:val="29"/>
              <w:numPr>
                <w:ilvl w:val="1"/>
                <w:numId w:val="7"/>
              </w:numPr>
              <w:overflowPunct/>
              <w:autoSpaceDE/>
              <w:adjustRightInd/>
              <w:snapToGrid w:val="0"/>
              <w:spacing w:after="120"/>
              <w:ind w:firstLineChars="0"/>
              <w:textAlignment w:val="auto"/>
              <w:rPr>
                <w:rFonts w:hint="default"/>
                <w:vertAlign w:val="baseline"/>
                <w:lang w:val="en-US" w:eastAsia="zh-CN"/>
              </w:rPr>
            </w:pPr>
            <w:r>
              <w:rPr>
                <w:rFonts w:hint="eastAsia"/>
                <w:color w:val="auto"/>
                <w:szCs w:val="21"/>
              </w:rPr>
              <w:t>T</w:t>
            </w:r>
            <w:r>
              <w:rPr>
                <w:color w:val="auto"/>
                <w:szCs w:val="21"/>
              </w:rPr>
              <w:t>h</w:t>
            </w:r>
            <w:r>
              <w:rPr>
                <w:rFonts w:hint="eastAsia"/>
                <w:color w:val="auto"/>
                <w:szCs w:val="21"/>
              </w:rPr>
              <w:t>is</w:t>
            </w:r>
            <w:r>
              <w:rPr>
                <w:color w:val="auto"/>
                <w:szCs w:val="21"/>
              </w:rPr>
              <w:t xml:space="preserve"> agreement is valid under the assumption of the same spatial relation for OD-SSB and always-on SSB [with the same SSB index], and this can be revisited based on RAN1 LS reply.</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RAN4 concluded the above decision in last meeting. Since no clear conclusion whether different frequency and/or different QCL allowed between on-demand SSB and always-on SSB achieved at RAN1, we can focus on the same frequency and same QCL cases and the above agreement in last RAN4 meeting has already specified the SCell activation procedure, i.e. follow the on-demand SSB periodicity to perform the SCell activation procedure in including all components shown in Figure 2.</w:t>
      </w:r>
    </w:p>
    <w:p>
      <w:pPr>
        <w:numPr>
          <w:ilvl w:val="0"/>
          <w:numId w:val="0"/>
        </w:numPr>
        <w:jc w:val="left"/>
      </w:pPr>
      <w:r>
        <w:drawing>
          <wp:inline distT="0" distB="0" distL="114300" distR="114300">
            <wp:extent cx="5960110" cy="1047115"/>
            <wp:effectExtent l="0" t="0" r="2540" b="63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5960110" cy="1047115"/>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lang w:val="en-US" w:eastAsia="zh-CN"/>
        </w:rPr>
        <w:t>Figure.2 The whole procedure of SCell activation</w:t>
      </w:r>
    </w:p>
    <w:p>
      <w:pPr>
        <w:numPr>
          <w:ilvl w:val="0"/>
          <w:numId w:val="0"/>
        </w:numPr>
        <w:jc w:val="both"/>
        <w:rPr>
          <w:rFonts w:hint="eastAsia"/>
          <w:lang w:val="en-US" w:eastAsia="zh-CN"/>
        </w:rPr>
      </w:pPr>
      <w:r>
        <w:rPr>
          <w:rFonts w:hint="eastAsia"/>
          <w:lang w:val="en-US" w:eastAsia="zh-CN"/>
        </w:rPr>
        <w:t>Besides the basic single SCell activation, the application of on-demand SSB could be extended to other SCell activation procedure, we list them as below:</w:t>
      </w:r>
    </w:p>
    <w:p>
      <w:pPr>
        <w:numPr>
          <w:ilvl w:val="0"/>
          <w:numId w:val="11"/>
        </w:numPr>
        <w:ind w:left="420" w:leftChars="0" w:hanging="420" w:firstLineChars="0"/>
        <w:jc w:val="both"/>
        <w:rPr>
          <w:rFonts w:hint="default"/>
          <w:lang w:val="en-US" w:eastAsia="zh-CN"/>
        </w:rPr>
      </w:pPr>
      <w:r>
        <w:rPr>
          <w:rFonts w:hint="eastAsia"/>
          <w:lang w:val="en-US" w:eastAsia="zh-CN"/>
        </w:rPr>
        <w:t>Direct SCell activation</w:t>
      </w:r>
    </w:p>
    <w:p>
      <w:pPr>
        <w:numPr>
          <w:ilvl w:val="0"/>
          <w:numId w:val="11"/>
        </w:numPr>
        <w:ind w:left="420" w:leftChars="0" w:hanging="420" w:firstLineChars="0"/>
        <w:jc w:val="both"/>
        <w:rPr>
          <w:rFonts w:hint="default"/>
          <w:lang w:val="en-US" w:eastAsia="zh-CN"/>
        </w:rPr>
      </w:pPr>
      <w:r>
        <w:rPr>
          <w:rFonts w:hint="eastAsia"/>
          <w:lang w:val="en-US" w:eastAsia="zh-CN"/>
        </w:rPr>
        <w:t>PUCCH SCell activation</w:t>
      </w:r>
    </w:p>
    <w:p>
      <w:pPr>
        <w:numPr>
          <w:ilvl w:val="0"/>
          <w:numId w:val="11"/>
        </w:numPr>
        <w:ind w:left="420" w:leftChars="0" w:hanging="420" w:firstLineChars="0"/>
        <w:jc w:val="both"/>
        <w:rPr>
          <w:rFonts w:hint="default"/>
          <w:lang w:val="en-US" w:eastAsia="zh-CN"/>
        </w:rPr>
      </w:pPr>
      <w:r>
        <w:rPr>
          <w:rFonts w:hint="eastAsia"/>
          <w:lang w:val="en-US" w:eastAsia="zh-CN"/>
        </w:rPr>
        <w:t>Multiple SCells activation</w:t>
      </w:r>
    </w:p>
    <w:p>
      <w:pPr>
        <w:numPr>
          <w:ilvl w:val="0"/>
          <w:numId w:val="11"/>
        </w:numPr>
        <w:ind w:left="420" w:leftChars="0" w:hanging="420" w:firstLineChars="0"/>
        <w:jc w:val="both"/>
        <w:rPr>
          <w:rFonts w:hint="default"/>
          <w:lang w:val="en-US" w:eastAsia="zh-CN"/>
        </w:rPr>
      </w:pPr>
      <w:r>
        <w:rPr>
          <w:rFonts w:hint="eastAsia"/>
          <w:lang w:val="en-US" w:eastAsia="zh-CN"/>
        </w:rPr>
        <w:t>R18 SCell activation with L3 reporting</w:t>
      </w:r>
    </w:p>
    <w:p>
      <w:pPr>
        <w:numPr>
          <w:ilvl w:val="0"/>
          <w:numId w:val="0"/>
        </w:numPr>
        <w:ind w:leftChars="0"/>
        <w:jc w:val="both"/>
        <w:rPr>
          <w:rFonts w:hint="eastAsia"/>
          <w:lang w:val="en-US" w:eastAsia="zh-CN"/>
        </w:rPr>
      </w:pPr>
      <w:r>
        <w:rPr>
          <w:rFonts w:hint="eastAsia"/>
          <w:lang w:val="en-US" w:eastAsia="zh-CN"/>
        </w:rPr>
        <w:t>For multiple SCells activation, some simple cases could be identified to apply on-demand SSB, e.g. all to be activated SCells are in the same band and contiguous for FR1, so that only transmission of on-demand SSB on one of these to be activated SCells could accelerate the procedure and achieve NW power saving gain.</w:t>
      </w:r>
    </w:p>
    <w:p>
      <w:pPr>
        <w:numPr>
          <w:ilvl w:val="0"/>
          <w:numId w:val="0"/>
        </w:numPr>
        <w:ind w:leftChars="0"/>
        <w:jc w:val="both"/>
        <w:rPr>
          <w:rFonts w:hint="eastAsia"/>
          <w:lang w:val="en-US" w:eastAsia="zh-CN"/>
        </w:rPr>
      </w:pPr>
      <w:r>
        <w:rPr>
          <w:rFonts w:hint="eastAsia"/>
          <w:lang w:val="en-US" w:eastAsia="zh-CN"/>
        </w:rPr>
        <w:t xml:space="preserve">For R18 SCell activation with L3 reporting, the typical case of this enhanced SCell activation procedure is that UE has already prepared L3 report when receiving the SCell activation command. So there is not enough room to improve the SCell activation procedure itself via on-demand SSB, instead, the L3 report could be derived based on on-demand SSB to facilitate the whole procedure. So we can focus on the on-demand SSB based L3 report for this case.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11: The application of on-demand SSB could be extended to direct SCell activation, PUCCH SCell activation, multiple SCells activation and R18 SCell activation with L3 reporting.</w:t>
      </w:r>
    </w:p>
    <w:p>
      <w:pPr>
        <w:pStyle w:val="9"/>
        <w:keepNext w:val="0"/>
        <w:keepLines w:val="0"/>
        <w:pageBreakBefore w:val="0"/>
        <w:widowControl/>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multiple SCells activation, start from simpler cases, e.g. all to be activated SCells are in the same band and contiguous for FR1.</w:t>
      </w:r>
    </w:p>
    <w:p>
      <w:pPr>
        <w:pStyle w:val="9"/>
        <w:keepNext w:val="0"/>
        <w:keepLines w:val="0"/>
        <w:pageBreakBefore w:val="0"/>
        <w:widowControl/>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R18 SCell activation with L3 reporting, focus on obtaining the L3 report based on on-demand SSB.</w:t>
      </w:r>
    </w:p>
    <w:p>
      <w:pPr>
        <w:numPr>
          <w:ilvl w:val="0"/>
          <w:numId w:val="0"/>
        </w:numPr>
        <w:ind w:leftChars="0"/>
        <w:jc w:val="both"/>
        <w:rPr>
          <w:rFonts w:hint="default"/>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on-demand SSB</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1: To confirm the T_min defined in RAN1 LS and reply the LS.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2: RAN4 identifies the details of UE processing after receiving on-demand SSB activation command internally for Case 1 and Case 2 respectively.</w:t>
      </w:r>
    </w:p>
    <w:p>
      <w:pPr>
        <w:pStyle w:val="9"/>
        <w:keepNext w:val="0"/>
        <w:keepLines w:val="0"/>
        <w:pageBreakBefore w:val="0"/>
        <w:widowControl/>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Case 1, the searcher re-scheduling could be performed within the duration of waiting for the first on-demand SSB occasion.</w:t>
      </w:r>
    </w:p>
    <w:p>
      <w:pPr>
        <w:pStyle w:val="9"/>
        <w:keepNext w:val="0"/>
        <w:keepLines w:val="0"/>
        <w:pageBreakBefore w:val="0"/>
        <w:widowControl/>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Case 2, no need searcher re-scheduling at least for the case of same frequency between on-demand SSB and always-on SSB.</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3: L1 measurements are not supported for deactivated SCell.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4: The legacy measurement accuracy is applied for OD-SSB based measurement.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5: Under Case#1, for the case of multiple on-demand SSB activation/deactivation during deactivated SCell, not to define any lower bound or upper bound for the interval of the former deactivation and later activation, the interval is totally decided by NW.</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olor w:val="auto"/>
          <w:szCs w:val="24"/>
          <w:lang w:val="en-US" w:eastAsia="zh-CN"/>
        </w:rPr>
      </w:pPr>
      <w:r>
        <w:rPr>
          <w:rFonts w:hint="eastAsia"/>
          <w:b/>
          <w:bCs/>
          <w:lang w:val="en-US" w:eastAsia="zh-CN"/>
        </w:rPr>
        <w:t xml:space="preserve">Proposal 6: Under Case#1, for the case of UE could maintain the deactivated SCell detected during T2, or there is active serving cell in the same band(contiguous for FR1), the subsequent fast measurement window could be reduced to only contain enough on-demand SSB samples for deactivated SCell measurement.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7: For Case #2, similar general solution as Case #1 could be reused, UE perform fast measurement within the fast window and then fallback to legacy behavior after the fast window.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8: For Case #2, at least when same frequency and same QCL are assumed between on-demand and always-on SSB, within the fast measurement window, combination of the two types of SSB benefits the measurement period reduction.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9: For Case #2, specify a uniform principle to specify the measurement instead of distinguish known and unknown cases.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 xml:space="preserve">Proposal 10: For Case #2, to specify known condition, under the case of different frequency and/or different QCL, it should be clarified that the SSB measured for known condition should be aligned with the SSB used in SCell activation procedure.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11: The application of on-demand SSB could be extended to direct SCell activation, PUCCH SCell activation, multiple SCells activation and R18 SCell activation with L3 reporting.</w:t>
      </w:r>
    </w:p>
    <w:p>
      <w:pPr>
        <w:pStyle w:val="9"/>
        <w:keepNext w:val="0"/>
        <w:keepLines w:val="0"/>
        <w:pageBreakBefore w:val="0"/>
        <w:widowControl/>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multiple SCells activation, start from simpler cases, e.g. all to be activated SCells are in the same band and contiguous for FR1.</w:t>
      </w:r>
    </w:p>
    <w:p>
      <w:pPr>
        <w:pStyle w:val="9"/>
        <w:keepNext w:val="0"/>
        <w:keepLines w:val="0"/>
        <w:pageBreakBefore w:val="0"/>
        <w:widowControl/>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R18 SCell activation with L3 reporting, focus on obtaining the L3 report based on on-demand SSB.</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2"/>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R4-2420098 WF on Netw_Energy_NR_enh_part 1, Ericsson, RAN4#113.</w:t>
      </w:r>
    </w:p>
    <w:p>
      <w:pPr>
        <w:pStyle w:val="10"/>
        <w:numPr>
          <w:ilvl w:val="0"/>
          <w:numId w:val="12"/>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R1-2410917 Reply LS </w:t>
      </w:r>
      <w:bookmarkStart w:id="0" w:name="_Hlk183094177"/>
      <w:r>
        <w:rPr>
          <w:rFonts w:hint="eastAsia"/>
          <w:color w:val="auto"/>
          <w:sz w:val="20"/>
          <w:szCs w:val="20"/>
          <w:highlight w:val="none"/>
          <w:lang w:val="en-US" w:eastAsia="zh-CN"/>
        </w:rPr>
        <w:t>on SSB relation in On-demand SSB and SSB adaptation on Scell</w:t>
      </w:r>
      <w:bookmarkEnd w:id="0"/>
      <w:r>
        <w:rPr>
          <w:rFonts w:hint="eastAsia"/>
          <w:color w:val="auto"/>
          <w:sz w:val="20"/>
          <w:szCs w:val="20"/>
          <w:highlight w:val="none"/>
          <w:lang w:val="en-US" w:eastAsia="zh-CN"/>
        </w:rPr>
        <w:t>, Ericsson, RAN1#119.</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modern"/>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4FF8F"/>
    <w:multiLevelType w:val="singleLevel"/>
    <w:tmpl w:val="ACB4FF8F"/>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1A7B7138"/>
    <w:multiLevelType w:val="singleLevel"/>
    <w:tmpl w:val="1A7B7138"/>
    <w:lvl w:ilvl="0" w:tentative="0">
      <w:start w:val="1"/>
      <w:numFmt w:val="bullet"/>
      <w:lvlText w:val=""/>
      <w:lvlJc w:val="left"/>
      <w:pPr>
        <w:ind w:left="420" w:hanging="420"/>
      </w:pPr>
      <w:rPr>
        <w:rFonts w:hint="default" w:ascii="Wingdings" w:hAnsi="Wingdings"/>
      </w:rPr>
    </w:lvl>
  </w:abstractNum>
  <w:abstractNum w:abstractNumId="5">
    <w:nsid w:val="42B553E0"/>
    <w:multiLevelType w:val="multilevel"/>
    <w:tmpl w:val="42B553E0"/>
    <w:lvl w:ilvl="0" w:tentative="0">
      <w:start w:val="0"/>
      <w:numFmt w:val="bullet"/>
      <w:lvlText w:val=""/>
      <w:lvlJc w:val="left"/>
      <w:pPr>
        <w:tabs>
          <w:tab w:val="left" w:pos="-420"/>
        </w:tabs>
        <w:ind w:left="300" w:hanging="360"/>
      </w:pPr>
      <w:rPr>
        <w:rFonts w:hint="default" w:ascii="Symbol" w:hAnsi="Symbol" w:eastAsia="Calibri"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368156B"/>
    <w:multiLevelType w:val="multilevel"/>
    <w:tmpl w:val="5368156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8584F2D"/>
    <w:multiLevelType w:val="multilevel"/>
    <w:tmpl w:val="68584F2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1"/>
  </w:num>
  <w:num w:numId="2">
    <w:abstractNumId w:val="7"/>
  </w:num>
  <w:num w:numId="3">
    <w:abstractNumId w:val="6"/>
  </w:num>
  <w:num w:numId="4">
    <w:abstractNumId w:val="2"/>
  </w:num>
  <w:num w:numId="5">
    <w:abstractNumId w:val="9"/>
  </w:num>
  <w:num w:numId="6">
    <w:abstractNumId w:val="10"/>
  </w:num>
  <w:num w:numId="7">
    <w:abstractNumId w:val="3"/>
  </w:num>
  <w:num w:numId="8">
    <w:abstractNumId w:val="8"/>
  </w:num>
  <w:num w:numId="9">
    <w:abstractNumId w:val="5"/>
  </w:num>
  <w:num w:numId="10">
    <w:abstractNumId w:val="0"/>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776310"/>
    <w:rsid w:val="448F338E"/>
    <w:rsid w:val="448F5150"/>
    <w:rsid w:val="44955526"/>
    <w:rsid w:val="44972678"/>
    <w:rsid w:val="449E40F6"/>
    <w:rsid w:val="44B5545B"/>
    <w:rsid w:val="44BD15A5"/>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8529A"/>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2025-02-07T08:52:33Z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